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Start w:id="1" w:name="_GoBack"/>
      <w:bookmarkEnd w:id="0"/>
      <w:bookmarkEnd w:id="1"/>
    </w:p>
    <w:p w:rsidR="006B07D0" w:rsidRPr="002A33E4" w:rsidRDefault="006B07D0" w:rsidP="002A33E4">
      <w:pPr>
        <w:jc w:val="center"/>
      </w:pPr>
      <w:bookmarkStart w:id="2" w:name="_Toc63264269"/>
      <w:r w:rsidRPr="002A33E4">
        <w:t>ul. Stanisława Moniuszki 1A, 00-014 Warszawa</w:t>
      </w:r>
      <w:bookmarkEnd w:id="2"/>
    </w:p>
    <w:bookmarkStart w:id="3"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3"/>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4" w:name="_Toc63264271"/>
      <w:r w:rsidRPr="00CC7F77">
        <w:rPr>
          <w:b/>
        </w:rPr>
        <w:t>Postępowanie o udzielenie zamówienia publicznego</w:t>
      </w:r>
      <w:bookmarkEnd w:id="4"/>
    </w:p>
    <w:p w:rsidR="006B07D0" w:rsidRPr="002A33E4" w:rsidRDefault="006B07D0" w:rsidP="002A33E4">
      <w:pPr>
        <w:jc w:val="center"/>
      </w:pPr>
      <w:bookmarkStart w:id="5" w:name="_Toc63264272"/>
      <w:r w:rsidRPr="00CC7F77">
        <w:rPr>
          <w:b/>
        </w:rPr>
        <w:t xml:space="preserve">w trybie </w:t>
      </w:r>
      <w:bookmarkEnd w:id="5"/>
      <w:r w:rsidR="00B2068F" w:rsidRPr="00CC7F77">
        <w:rPr>
          <w:b/>
        </w:rPr>
        <w:t>przetargu nieograniczonego</w:t>
      </w:r>
    </w:p>
    <w:p w:rsidR="006B07D0" w:rsidRPr="002A33E4" w:rsidRDefault="0094587B" w:rsidP="002A33E4">
      <w:pPr>
        <w:jc w:val="center"/>
      </w:pPr>
      <w:bookmarkStart w:id="6" w:name="_Toc63264273"/>
      <w:r w:rsidRPr="002A33E4">
        <w:t>na</w:t>
      </w:r>
      <w:bookmarkEnd w:id="6"/>
    </w:p>
    <w:p w:rsidR="006B07D0" w:rsidRPr="002A33E4" w:rsidRDefault="006B07D0" w:rsidP="002A33E4">
      <w:pPr>
        <w:jc w:val="center"/>
      </w:pPr>
    </w:p>
    <w:p w:rsidR="0094587B" w:rsidRPr="002A33E4" w:rsidRDefault="0094587B" w:rsidP="002A33E4">
      <w:pPr>
        <w:jc w:val="center"/>
      </w:pPr>
    </w:p>
    <w:p w:rsidR="00A10FAD" w:rsidRDefault="00A10FAD" w:rsidP="002A33E4">
      <w:pPr>
        <w:jc w:val="center"/>
        <w:rPr>
          <w:bCs/>
        </w:rPr>
      </w:pPr>
    </w:p>
    <w:p w:rsidR="00FE5845" w:rsidRPr="00FB123E" w:rsidRDefault="00FE5845" w:rsidP="002A33E4">
      <w:pPr>
        <w:jc w:val="center"/>
        <w:rPr>
          <w:b/>
          <w:bCs/>
          <w:color w:val="0070C0"/>
        </w:rPr>
      </w:pPr>
      <w:r w:rsidRPr="00FB123E">
        <w:rPr>
          <w:b/>
          <w:bCs/>
          <w:color w:val="0070C0"/>
        </w:rPr>
        <w:t>Kompleksowa obsługa bankowa FSUSR</w:t>
      </w:r>
      <w:r w:rsidR="002D5632" w:rsidRPr="00FB123E">
        <w:rPr>
          <w:b/>
          <w:bCs/>
          <w:color w:val="0070C0"/>
        </w:rPr>
        <w:t xml:space="preserve"> w </w:t>
      </w:r>
      <w:r w:rsidR="003071F2" w:rsidRPr="00FB123E">
        <w:rPr>
          <w:b/>
          <w:bCs/>
          <w:color w:val="0070C0"/>
        </w:rPr>
        <w:t>latach</w:t>
      </w:r>
      <w:r w:rsidR="002D5632" w:rsidRPr="00FB123E">
        <w:rPr>
          <w:b/>
          <w:bCs/>
          <w:color w:val="0070C0"/>
        </w:rPr>
        <w:t xml:space="preserve"> 2022 </w:t>
      </w:r>
      <w:r w:rsidR="003071F2" w:rsidRPr="00FB123E">
        <w:rPr>
          <w:b/>
          <w:bCs/>
          <w:color w:val="0070C0"/>
        </w:rPr>
        <w:t>–</w:t>
      </w:r>
      <w:r w:rsidR="002D5632" w:rsidRPr="00FB123E">
        <w:rPr>
          <w:b/>
          <w:bCs/>
          <w:color w:val="0070C0"/>
        </w:rPr>
        <w:t xml:space="preserve"> 2025</w:t>
      </w:r>
    </w:p>
    <w:p w:rsidR="006B07D0" w:rsidRPr="00FB123E" w:rsidRDefault="007237CF" w:rsidP="002A33E4">
      <w:pPr>
        <w:jc w:val="center"/>
        <w:rPr>
          <w:b/>
          <w:color w:val="0070C0"/>
        </w:rPr>
      </w:pPr>
      <w:r w:rsidRPr="00FB123E">
        <w:rPr>
          <w:b/>
          <w:color w:val="0070C0"/>
        </w:rPr>
        <w:t>(w podziale na 2 części)</w:t>
      </w: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7" w:name="_Toc63264276"/>
      <w:r w:rsidRPr="00CC7F77">
        <w:rPr>
          <w:b/>
        </w:rPr>
        <w:t>Specyfikacja warunków zamówienia</w:t>
      </w:r>
      <w:bookmarkEnd w:id="7"/>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8" w:name="_Toc73476983"/>
      <w:r w:rsidRPr="002A33E4">
        <w:rPr>
          <w:rFonts w:cs="Arial"/>
          <w:b/>
          <w:bCs/>
        </w:rPr>
        <w:lastRenderedPageBreak/>
        <w:t>Spis treści</w:t>
      </w:r>
      <w:bookmarkStart w:id="9" w:name="_Toc63264278"/>
      <w:bookmarkEnd w:id="8"/>
    </w:p>
    <w:p w:rsidR="00A92D16"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8419039" w:history="1">
        <w:r w:rsidR="00A92D16" w:rsidRPr="00247D1A">
          <w:rPr>
            <w:rStyle w:val="Hipercze"/>
            <w:noProof/>
          </w:rPr>
          <w:t>Rozdział I -</w:t>
        </w:r>
        <w:r w:rsidR="00A92D16">
          <w:rPr>
            <w:rFonts w:asciiTheme="minorHAnsi" w:eastAsiaTheme="minorEastAsia" w:hAnsiTheme="minorHAnsi" w:cstheme="minorBidi"/>
            <w:b w:val="0"/>
            <w:bCs w:val="0"/>
            <w:noProof/>
            <w:szCs w:val="22"/>
            <w:lang w:eastAsia="pl-PL"/>
          </w:rPr>
          <w:tab/>
        </w:r>
        <w:r w:rsidR="00A92D16" w:rsidRPr="00247D1A">
          <w:rPr>
            <w:rStyle w:val="Hipercze"/>
            <w:noProof/>
          </w:rPr>
          <w:t>Informacje Ogólne</w:t>
        </w:r>
        <w:r w:rsidR="00A92D16">
          <w:rPr>
            <w:noProof/>
            <w:webHidden/>
          </w:rPr>
          <w:tab/>
        </w:r>
        <w:r w:rsidR="00A92D16">
          <w:rPr>
            <w:noProof/>
            <w:webHidden/>
          </w:rPr>
          <w:fldChar w:fldCharType="begin"/>
        </w:r>
        <w:r w:rsidR="00A92D16">
          <w:rPr>
            <w:noProof/>
            <w:webHidden/>
          </w:rPr>
          <w:instrText xml:space="preserve"> PAGEREF _Toc108419039 \h </w:instrText>
        </w:r>
        <w:r w:rsidR="00A92D16">
          <w:rPr>
            <w:noProof/>
            <w:webHidden/>
          </w:rPr>
        </w:r>
        <w:r w:rsidR="00A92D16">
          <w:rPr>
            <w:noProof/>
            <w:webHidden/>
          </w:rPr>
          <w:fldChar w:fldCharType="separate"/>
        </w:r>
        <w:r w:rsidR="003677D0">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0" w:history="1">
        <w:r w:rsidR="00A92D16" w:rsidRPr="00247D1A">
          <w:rPr>
            <w:rStyle w:val="Hipercze"/>
            <w:noProof/>
          </w:rPr>
          <w:t>I</w:t>
        </w:r>
        <w:r w:rsidR="00A92D16">
          <w:rPr>
            <w:rFonts w:asciiTheme="minorHAnsi" w:eastAsiaTheme="minorEastAsia" w:hAnsiTheme="minorHAnsi" w:cstheme="minorBidi"/>
            <w:bCs w:val="0"/>
            <w:noProof/>
            <w:szCs w:val="22"/>
            <w:lang w:eastAsia="pl-PL"/>
          </w:rPr>
          <w:tab/>
        </w:r>
        <w:r w:rsidR="00A92D16" w:rsidRPr="00247D1A">
          <w:rPr>
            <w:rStyle w:val="Hipercze"/>
            <w:noProof/>
          </w:rPr>
          <w:t>Nazwa oraz adres</w:t>
        </w:r>
        <w:r w:rsidR="00A92D16" w:rsidRPr="00247D1A">
          <w:rPr>
            <w:rStyle w:val="Hipercze"/>
            <w:noProof/>
            <w:spacing w:val="-4"/>
          </w:rPr>
          <w:t xml:space="preserve"> </w:t>
        </w:r>
        <w:r w:rsidR="00A92D16" w:rsidRPr="00247D1A">
          <w:rPr>
            <w:rStyle w:val="Hipercze"/>
            <w:noProof/>
          </w:rPr>
          <w:t>Zamawiającego</w:t>
        </w:r>
        <w:r w:rsidR="00A92D16">
          <w:rPr>
            <w:noProof/>
            <w:webHidden/>
          </w:rPr>
          <w:tab/>
        </w:r>
        <w:r w:rsidR="00A92D16">
          <w:rPr>
            <w:noProof/>
            <w:webHidden/>
          </w:rPr>
          <w:fldChar w:fldCharType="begin"/>
        </w:r>
        <w:r w:rsidR="00A92D16">
          <w:rPr>
            <w:noProof/>
            <w:webHidden/>
          </w:rPr>
          <w:instrText xml:space="preserve"> PAGEREF _Toc108419040 \h </w:instrText>
        </w:r>
        <w:r w:rsidR="00A92D16">
          <w:rPr>
            <w:noProof/>
            <w:webHidden/>
          </w:rPr>
        </w:r>
        <w:r w:rsidR="00A92D16">
          <w:rPr>
            <w:noProof/>
            <w:webHidden/>
          </w:rPr>
          <w:fldChar w:fldCharType="separate"/>
        </w:r>
        <w:r>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1" w:history="1">
        <w:r w:rsidR="00A92D16" w:rsidRPr="00247D1A">
          <w:rPr>
            <w:rStyle w:val="Hipercze"/>
            <w:noProof/>
          </w:rPr>
          <w:t>II</w:t>
        </w:r>
        <w:r w:rsidR="00A92D16">
          <w:rPr>
            <w:rFonts w:asciiTheme="minorHAnsi" w:eastAsiaTheme="minorEastAsia" w:hAnsiTheme="minorHAnsi" w:cstheme="minorBidi"/>
            <w:bCs w:val="0"/>
            <w:noProof/>
            <w:szCs w:val="22"/>
            <w:lang w:eastAsia="pl-PL"/>
          </w:rPr>
          <w:tab/>
        </w:r>
        <w:r w:rsidR="00A92D16" w:rsidRPr="00247D1A">
          <w:rPr>
            <w:rStyle w:val="Hipercze"/>
            <w:noProof/>
          </w:rPr>
          <w:t>Adres strony internetowej, na której udostępniane będą zmiany i wyjaśnienia treści SWZ oraz inne dokumenty zamówienia</w:t>
        </w:r>
        <w:r w:rsidR="00A92D16" w:rsidRPr="00247D1A">
          <w:rPr>
            <w:rStyle w:val="Hipercze"/>
            <w:noProof/>
            <w:spacing w:val="-28"/>
          </w:rPr>
          <w:t xml:space="preserve"> </w:t>
        </w:r>
        <w:r w:rsidR="00A92D16" w:rsidRPr="00247D1A">
          <w:rPr>
            <w:rStyle w:val="Hipercze"/>
            <w:noProof/>
          </w:rPr>
          <w:t>bezpośrednio związane z postępowaniem o udzielenie zamówienia</w:t>
        </w:r>
        <w:r w:rsidR="00A92D16">
          <w:rPr>
            <w:noProof/>
            <w:webHidden/>
          </w:rPr>
          <w:tab/>
        </w:r>
        <w:r w:rsidR="00A92D16">
          <w:rPr>
            <w:noProof/>
            <w:webHidden/>
          </w:rPr>
          <w:fldChar w:fldCharType="begin"/>
        </w:r>
        <w:r w:rsidR="00A92D16">
          <w:rPr>
            <w:noProof/>
            <w:webHidden/>
          </w:rPr>
          <w:instrText xml:space="preserve"> PAGEREF _Toc108419041 \h </w:instrText>
        </w:r>
        <w:r w:rsidR="00A92D16">
          <w:rPr>
            <w:noProof/>
            <w:webHidden/>
          </w:rPr>
        </w:r>
        <w:r w:rsidR="00A92D16">
          <w:rPr>
            <w:noProof/>
            <w:webHidden/>
          </w:rPr>
          <w:fldChar w:fldCharType="separate"/>
        </w:r>
        <w:r>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2" w:history="1">
        <w:r w:rsidR="00A92D16" w:rsidRPr="00247D1A">
          <w:rPr>
            <w:rStyle w:val="Hipercze"/>
            <w:noProof/>
          </w:rPr>
          <w:t>III</w:t>
        </w:r>
        <w:r w:rsidR="00A92D16">
          <w:rPr>
            <w:rFonts w:asciiTheme="minorHAnsi" w:eastAsiaTheme="minorEastAsia" w:hAnsiTheme="minorHAnsi" w:cstheme="minorBidi"/>
            <w:bCs w:val="0"/>
            <w:noProof/>
            <w:szCs w:val="22"/>
            <w:lang w:eastAsia="pl-PL"/>
          </w:rPr>
          <w:tab/>
        </w:r>
        <w:r w:rsidR="00A92D16" w:rsidRPr="00247D1A">
          <w:rPr>
            <w:rStyle w:val="Hipercze"/>
            <w:noProof/>
          </w:rPr>
          <w:t>Tryb udzielenia</w:t>
        </w:r>
        <w:r w:rsidR="00A92D16" w:rsidRPr="00247D1A">
          <w:rPr>
            <w:rStyle w:val="Hipercze"/>
            <w:noProof/>
            <w:spacing w:val="-2"/>
          </w:rPr>
          <w:t xml:space="preserve"> </w:t>
        </w:r>
        <w:r w:rsidR="00A92D16" w:rsidRPr="00247D1A">
          <w:rPr>
            <w:rStyle w:val="Hipercze"/>
            <w:noProof/>
          </w:rPr>
          <w:t>zamówienia</w:t>
        </w:r>
        <w:r w:rsidR="00A92D16">
          <w:rPr>
            <w:noProof/>
            <w:webHidden/>
          </w:rPr>
          <w:tab/>
        </w:r>
        <w:r w:rsidR="00A92D16">
          <w:rPr>
            <w:noProof/>
            <w:webHidden/>
          </w:rPr>
          <w:fldChar w:fldCharType="begin"/>
        </w:r>
        <w:r w:rsidR="00A92D16">
          <w:rPr>
            <w:noProof/>
            <w:webHidden/>
          </w:rPr>
          <w:instrText xml:space="preserve"> PAGEREF _Toc108419042 \h </w:instrText>
        </w:r>
        <w:r w:rsidR="00A92D16">
          <w:rPr>
            <w:noProof/>
            <w:webHidden/>
          </w:rPr>
        </w:r>
        <w:r w:rsidR="00A92D16">
          <w:rPr>
            <w:noProof/>
            <w:webHidden/>
          </w:rPr>
          <w:fldChar w:fldCharType="separate"/>
        </w:r>
        <w:r>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3" w:history="1">
        <w:r w:rsidR="00A92D16" w:rsidRPr="00247D1A">
          <w:rPr>
            <w:rStyle w:val="Hipercze"/>
            <w:noProof/>
          </w:rPr>
          <w:t>IV</w:t>
        </w:r>
        <w:r w:rsidR="00A92D16">
          <w:rPr>
            <w:rFonts w:asciiTheme="minorHAnsi" w:eastAsiaTheme="minorEastAsia" w:hAnsiTheme="minorHAnsi" w:cstheme="minorBidi"/>
            <w:bCs w:val="0"/>
            <w:noProof/>
            <w:szCs w:val="22"/>
            <w:lang w:eastAsia="pl-PL"/>
          </w:rPr>
          <w:tab/>
        </w:r>
        <w:r w:rsidR="00A92D16" w:rsidRPr="00247D1A">
          <w:rPr>
            <w:rStyle w:val="Hipercze"/>
            <w:noProof/>
          </w:rPr>
          <w:t>Informacja o przewidywanym wyborze najkorzystniejszej oferty z zastosowaniem aukcji elektronicznej</w:t>
        </w:r>
        <w:r w:rsidR="00A92D16">
          <w:rPr>
            <w:noProof/>
            <w:webHidden/>
          </w:rPr>
          <w:tab/>
        </w:r>
        <w:r w:rsidR="00A92D16">
          <w:rPr>
            <w:noProof/>
            <w:webHidden/>
          </w:rPr>
          <w:fldChar w:fldCharType="begin"/>
        </w:r>
        <w:r w:rsidR="00A92D16">
          <w:rPr>
            <w:noProof/>
            <w:webHidden/>
          </w:rPr>
          <w:instrText xml:space="preserve"> PAGEREF _Toc108419043 \h </w:instrText>
        </w:r>
        <w:r w:rsidR="00A92D16">
          <w:rPr>
            <w:noProof/>
            <w:webHidden/>
          </w:rPr>
        </w:r>
        <w:r w:rsidR="00A92D16">
          <w:rPr>
            <w:noProof/>
            <w:webHidden/>
          </w:rPr>
          <w:fldChar w:fldCharType="separate"/>
        </w:r>
        <w:r>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4" w:history="1">
        <w:r w:rsidR="00A92D16" w:rsidRPr="00247D1A">
          <w:rPr>
            <w:rStyle w:val="Hipercze"/>
            <w:noProof/>
          </w:rPr>
          <w:t>V</w:t>
        </w:r>
        <w:r w:rsidR="00A92D16">
          <w:rPr>
            <w:rFonts w:asciiTheme="minorHAnsi" w:eastAsiaTheme="minorEastAsia" w:hAnsiTheme="minorHAnsi" w:cstheme="minorBidi"/>
            <w:bCs w:val="0"/>
            <w:noProof/>
            <w:szCs w:val="22"/>
            <w:lang w:eastAsia="pl-PL"/>
          </w:rPr>
          <w:tab/>
        </w:r>
        <w:r w:rsidR="00A92D16" w:rsidRPr="00247D1A">
          <w:rPr>
            <w:rStyle w:val="Hipercze"/>
            <w:noProof/>
          </w:rPr>
          <w:t>Opis przedmiotu</w:t>
        </w:r>
        <w:r w:rsidR="00A92D16" w:rsidRPr="00247D1A">
          <w:rPr>
            <w:rStyle w:val="Hipercze"/>
            <w:noProof/>
            <w:spacing w:val="-1"/>
          </w:rPr>
          <w:t xml:space="preserve"> </w:t>
        </w:r>
        <w:r w:rsidR="00A92D16" w:rsidRPr="00247D1A">
          <w:rPr>
            <w:rStyle w:val="Hipercze"/>
            <w:noProof/>
          </w:rPr>
          <w:t>zamówienia</w:t>
        </w:r>
        <w:r w:rsidR="00A92D16">
          <w:rPr>
            <w:noProof/>
            <w:webHidden/>
          </w:rPr>
          <w:tab/>
        </w:r>
        <w:r w:rsidR="00A92D16">
          <w:rPr>
            <w:noProof/>
            <w:webHidden/>
          </w:rPr>
          <w:fldChar w:fldCharType="begin"/>
        </w:r>
        <w:r w:rsidR="00A92D16">
          <w:rPr>
            <w:noProof/>
            <w:webHidden/>
          </w:rPr>
          <w:instrText xml:space="preserve"> PAGEREF _Toc108419044 \h </w:instrText>
        </w:r>
        <w:r w:rsidR="00A92D16">
          <w:rPr>
            <w:noProof/>
            <w:webHidden/>
          </w:rPr>
        </w:r>
        <w:r w:rsidR="00A92D16">
          <w:rPr>
            <w:noProof/>
            <w:webHidden/>
          </w:rPr>
          <w:fldChar w:fldCharType="separate"/>
        </w:r>
        <w:r>
          <w:rPr>
            <w:noProof/>
            <w:webHidden/>
          </w:rPr>
          <w:t>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5" w:history="1">
        <w:r w:rsidR="00A92D16" w:rsidRPr="00247D1A">
          <w:rPr>
            <w:rStyle w:val="Hipercze"/>
            <w:noProof/>
          </w:rPr>
          <w:t>VI</w:t>
        </w:r>
        <w:r w:rsidR="00A92D16">
          <w:rPr>
            <w:rFonts w:asciiTheme="minorHAnsi" w:eastAsiaTheme="minorEastAsia" w:hAnsiTheme="minorHAnsi" w:cstheme="minorBidi"/>
            <w:bCs w:val="0"/>
            <w:noProof/>
            <w:szCs w:val="22"/>
            <w:lang w:eastAsia="pl-PL"/>
          </w:rPr>
          <w:tab/>
        </w:r>
        <w:r w:rsidR="00A92D16" w:rsidRPr="00247D1A">
          <w:rPr>
            <w:rStyle w:val="Hipercze"/>
            <w:noProof/>
          </w:rPr>
          <w:t>Termin wykonania</w:t>
        </w:r>
        <w:r w:rsidR="00A92D16" w:rsidRPr="00247D1A">
          <w:rPr>
            <w:rStyle w:val="Hipercze"/>
            <w:noProof/>
            <w:spacing w:val="-2"/>
          </w:rPr>
          <w:t xml:space="preserve"> </w:t>
        </w:r>
        <w:r w:rsidR="00A92D16" w:rsidRPr="00247D1A">
          <w:rPr>
            <w:rStyle w:val="Hipercze"/>
            <w:noProof/>
          </w:rPr>
          <w:t>zamówienia (dotyczy każdej z części)</w:t>
        </w:r>
        <w:r w:rsidR="00A92D16">
          <w:rPr>
            <w:noProof/>
            <w:webHidden/>
          </w:rPr>
          <w:tab/>
        </w:r>
        <w:r w:rsidR="00A92D16">
          <w:rPr>
            <w:noProof/>
            <w:webHidden/>
          </w:rPr>
          <w:fldChar w:fldCharType="begin"/>
        </w:r>
        <w:r w:rsidR="00A92D16">
          <w:rPr>
            <w:noProof/>
            <w:webHidden/>
          </w:rPr>
          <w:instrText xml:space="preserve"> PAGEREF _Toc108419045 \h </w:instrText>
        </w:r>
        <w:r w:rsidR="00A92D16">
          <w:rPr>
            <w:noProof/>
            <w:webHidden/>
          </w:rPr>
        </w:r>
        <w:r w:rsidR="00A92D16">
          <w:rPr>
            <w:noProof/>
            <w:webHidden/>
          </w:rPr>
          <w:fldChar w:fldCharType="separate"/>
        </w:r>
        <w:r>
          <w:rPr>
            <w:noProof/>
            <w:webHidden/>
          </w:rPr>
          <w:t>4</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6" w:history="1">
        <w:r w:rsidR="00A92D16" w:rsidRPr="00247D1A">
          <w:rPr>
            <w:rStyle w:val="Hipercze"/>
            <w:noProof/>
          </w:rPr>
          <w:t>VII</w:t>
        </w:r>
        <w:r w:rsidR="00A92D16">
          <w:rPr>
            <w:rFonts w:asciiTheme="minorHAnsi" w:eastAsiaTheme="minorEastAsia" w:hAnsiTheme="minorHAnsi" w:cstheme="minorBidi"/>
            <w:bCs w:val="0"/>
            <w:noProof/>
            <w:szCs w:val="22"/>
            <w:lang w:eastAsia="pl-PL"/>
          </w:rPr>
          <w:tab/>
        </w:r>
        <w:r w:rsidR="00A92D16" w:rsidRPr="00247D1A">
          <w:rPr>
            <w:rStyle w:val="Hipercze"/>
            <w:noProof/>
          </w:rPr>
          <w:t>Projektowane postanowienia umowy w sprawie zamówienia publicznego, które zostaną wprowadzone do treści tej</w:t>
        </w:r>
        <w:r w:rsidR="00A92D16" w:rsidRPr="00247D1A">
          <w:rPr>
            <w:rStyle w:val="Hipercze"/>
            <w:noProof/>
            <w:spacing w:val="-5"/>
          </w:rPr>
          <w:t xml:space="preserve"> </w:t>
        </w:r>
        <w:r w:rsidR="00A92D16" w:rsidRPr="00247D1A">
          <w:rPr>
            <w:rStyle w:val="Hipercze"/>
            <w:noProof/>
          </w:rPr>
          <w:t>umowy</w:t>
        </w:r>
        <w:r w:rsidR="00A92D16">
          <w:rPr>
            <w:noProof/>
            <w:webHidden/>
          </w:rPr>
          <w:tab/>
        </w:r>
        <w:r w:rsidR="00A92D16">
          <w:rPr>
            <w:noProof/>
            <w:webHidden/>
          </w:rPr>
          <w:fldChar w:fldCharType="begin"/>
        </w:r>
        <w:r w:rsidR="00A92D16">
          <w:rPr>
            <w:noProof/>
            <w:webHidden/>
          </w:rPr>
          <w:instrText xml:space="preserve"> PAGEREF _Toc108419046 \h </w:instrText>
        </w:r>
        <w:r w:rsidR="00A92D16">
          <w:rPr>
            <w:noProof/>
            <w:webHidden/>
          </w:rPr>
        </w:r>
        <w:r w:rsidR="00A92D16">
          <w:rPr>
            <w:noProof/>
            <w:webHidden/>
          </w:rPr>
          <w:fldChar w:fldCharType="separate"/>
        </w:r>
        <w:r>
          <w:rPr>
            <w:noProof/>
            <w:webHidden/>
          </w:rPr>
          <w:t>4</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7" w:history="1">
        <w:r w:rsidR="00A92D16" w:rsidRPr="00247D1A">
          <w:rPr>
            <w:rStyle w:val="Hipercze"/>
            <w:noProof/>
          </w:rPr>
          <w:t>VIII</w:t>
        </w:r>
        <w:r w:rsidR="00A92D16">
          <w:rPr>
            <w:rFonts w:asciiTheme="minorHAnsi" w:eastAsiaTheme="minorEastAsia" w:hAnsiTheme="minorHAnsi" w:cstheme="minorBidi"/>
            <w:bCs w:val="0"/>
            <w:noProof/>
            <w:szCs w:val="22"/>
            <w:lang w:eastAsia="pl-PL"/>
          </w:rPr>
          <w:tab/>
        </w:r>
        <w:r w:rsidR="00A92D16" w:rsidRPr="00247D1A">
          <w:rPr>
            <w:rStyle w:val="Hipercze"/>
            <w:noProof/>
          </w:rPr>
          <w:t>Informacje o środkach komunikacji elektronicznej, przy użyciu których Zamawiający będzie komunikował się z wykonawcami, oraz informacje o wymaganiach technicznych i organizacyjnych sporządzania, wysyłania</w:t>
        </w:r>
        <w:r w:rsidR="00A92D16" w:rsidRPr="00247D1A">
          <w:rPr>
            <w:rStyle w:val="Hipercze"/>
            <w:noProof/>
            <w:spacing w:val="-18"/>
          </w:rPr>
          <w:t xml:space="preserve"> </w:t>
        </w:r>
        <w:r w:rsidR="00A92D16" w:rsidRPr="00247D1A">
          <w:rPr>
            <w:rStyle w:val="Hipercze"/>
            <w:noProof/>
          </w:rPr>
          <w:t>i odbierania korespondencji elektronicznej</w:t>
        </w:r>
        <w:r w:rsidR="00A92D16">
          <w:rPr>
            <w:noProof/>
            <w:webHidden/>
          </w:rPr>
          <w:tab/>
        </w:r>
        <w:r w:rsidR="00A92D16">
          <w:rPr>
            <w:noProof/>
            <w:webHidden/>
          </w:rPr>
          <w:fldChar w:fldCharType="begin"/>
        </w:r>
        <w:r w:rsidR="00A92D16">
          <w:rPr>
            <w:noProof/>
            <w:webHidden/>
          </w:rPr>
          <w:instrText xml:space="preserve"> PAGEREF _Toc108419047 \h </w:instrText>
        </w:r>
        <w:r w:rsidR="00A92D16">
          <w:rPr>
            <w:noProof/>
            <w:webHidden/>
          </w:rPr>
        </w:r>
        <w:r w:rsidR="00A92D16">
          <w:rPr>
            <w:noProof/>
            <w:webHidden/>
          </w:rPr>
          <w:fldChar w:fldCharType="separate"/>
        </w:r>
        <w:r>
          <w:rPr>
            <w:noProof/>
            <w:webHidden/>
          </w:rPr>
          <w:t>4</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8" w:history="1">
        <w:r w:rsidR="00A92D16" w:rsidRPr="00247D1A">
          <w:rPr>
            <w:rStyle w:val="Hipercze"/>
            <w:noProof/>
          </w:rPr>
          <w:t>IX</w:t>
        </w:r>
        <w:r w:rsidR="00A92D16">
          <w:rPr>
            <w:rFonts w:asciiTheme="minorHAnsi" w:eastAsiaTheme="minorEastAsia" w:hAnsiTheme="minorHAnsi" w:cstheme="minorBidi"/>
            <w:bCs w:val="0"/>
            <w:noProof/>
            <w:szCs w:val="22"/>
            <w:lang w:eastAsia="pl-PL"/>
          </w:rPr>
          <w:tab/>
        </w:r>
        <w:r w:rsidR="00A92D16" w:rsidRPr="00247D1A">
          <w:rPr>
            <w:rStyle w:val="Hipercze"/>
            <w:noProof/>
          </w:rPr>
          <w:t>Wskazanie osób uprawnionych do komunikowania się z</w:t>
        </w:r>
        <w:r w:rsidR="00A92D16" w:rsidRPr="00247D1A">
          <w:rPr>
            <w:rStyle w:val="Hipercze"/>
            <w:noProof/>
            <w:spacing w:val="-10"/>
          </w:rPr>
          <w:t xml:space="preserve"> </w:t>
        </w:r>
        <w:r w:rsidR="00A92D16" w:rsidRPr="00247D1A">
          <w:rPr>
            <w:rStyle w:val="Hipercze"/>
            <w:noProof/>
          </w:rPr>
          <w:t>Wykonawcami</w:t>
        </w:r>
        <w:r w:rsidR="00A92D16">
          <w:rPr>
            <w:noProof/>
            <w:webHidden/>
          </w:rPr>
          <w:tab/>
        </w:r>
        <w:r w:rsidR="00A92D16">
          <w:rPr>
            <w:noProof/>
            <w:webHidden/>
          </w:rPr>
          <w:fldChar w:fldCharType="begin"/>
        </w:r>
        <w:r w:rsidR="00A92D16">
          <w:rPr>
            <w:noProof/>
            <w:webHidden/>
          </w:rPr>
          <w:instrText xml:space="preserve"> PAGEREF _Toc108419048 \h </w:instrText>
        </w:r>
        <w:r w:rsidR="00A92D16">
          <w:rPr>
            <w:noProof/>
            <w:webHidden/>
          </w:rPr>
        </w:r>
        <w:r w:rsidR="00A92D16">
          <w:rPr>
            <w:noProof/>
            <w:webHidden/>
          </w:rPr>
          <w:fldChar w:fldCharType="separate"/>
        </w:r>
        <w:r>
          <w:rPr>
            <w:noProof/>
            <w:webHidden/>
          </w:rPr>
          <w:t>5</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49" w:history="1">
        <w:r w:rsidR="00A92D16" w:rsidRPr="00247D1A">
          <w:rPr>
            <w:rStyle w:val="Hipercze"/>
            <w:noProof/>
          </w:rPr>
          <w:t>X</w:t>
        </w:r>
        <w:r w:rsidR="00A92D16">
          <w:rPr>
            <w:rFonts w:asciiTheme="minorHAnsi" w:eastAsiaTheme="minorEastAsia" w:hAnsiTheme="minorHAnsi" w:cstheme="minorBidi"/>
            <w:bCs w:val="0"/>
            <w:noProof/>
            <w:szCs w:val="22"/>
            <w:lang w:eastAsia="pl-PL"/>
          </w:rPr>
          <w:tab/>
        </w:r>
        <w:r w:rsidR="00A92D16" w:rsidRPr="00247D1A">
          <w:rPr>
            <w:rStyle w:val="Hipercze"/>
            <w:noProof/>
          </w:rPr>
          <w:t>Termin związania</w:t>
        </w:r>
        <w:r w:rsidR="00A92D16" w:rsidRPr="00247D1A">
          <w:rPr>
            <w:rStyle w:val="Hipercze"/>
            <w:noProof/>
            <w:spacing w:val="-2"/>
          </w:rPr>
          <w:t xml:space="preserve"> </w:t>
        </w:r>
        <w:r w:rsidR="00A92D16" w:rsidRPr="00247D1A">
          <w:rPr>
            <w:rStyle w:val="Hipercze"/>
            <w:noProof/>
          </w:rPr>
          <w:t>ofertą</w:t>
        </w:r>
        <w:r w:rsidR="00A92D16">
          <w:rPr>
            <w:noProof/>
            <w:webHidden/>
          </w:rPr>
          <w:tab/>
        </w:r>
        <w:r w:rsidR="00A92D16">
          <w:rPr>
            <w:noProof/>
            <w:webHidden/>
          </w:rPr>
          <w:fldChar w:fldCharType="begin"/>
        </w:r>
        <w:r w:rsidR="00A92D16">
          <w:rPr>
            <w:noProof/>
            <w:webHidden/>
          </w:rPr>
          <w:instrText xml:space="preserve"> PAGEREF _Toc108419049 \h </w:instrText>
        </w:r>
        <w:r w:rsidR="00A92D16">
          <w:rPr>
            <w:noProof/>
            <w:webHidden/>
          </w:rPr>
        </w:r>
        <w:r w:rsidR="00A92D16">
          <w:rPr>
            <w:noProof/>
            <w:webHidden/>
          </w:rPr>
          <w:fldChar w:fldCharType="separate"/>
        </w:r>
        <w:r>
          <w:rPr>
            <w:noProof/>
            <w:webHidden/>
          </w:rPr>
          <w:t>5</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0" w:history="1">
        <w:r w:rsidR="00A92D16" w:rsidRPr="00247D1A">
          <w:rPr>
            <w:rStyle w:val="Hipercze"/>
            <w:noProof/>
          </w:rPr>
          <w:t>XI</w:t>
        </w:r>
        <w:r w:rsidR="00A92D16">
          <w:rPr>
            <w:rFonts w:asciiTheme="minorHAnsi" w:eastAsiaTheme="minorEastAsia" w:hAnsiTheme="minorHAnsi" w:cstheme="minorBidi"/>
            <w:bCs w:val="0"/>
            <w:noProof/>
            <w:szCs w:val="22"/>
            <w:lang w:eastAsia="pl-PL"/>
          </w:rPr>
          <w:tab/>
        </w:r>
        <w:r w:rsidR="00A92D16" w:rsidRPr="00247D1A">
          <w:rPr>
            <w:rStyle w:val="Hipercze"/>
            <w:noProof/>
          </w:rPr>
          <w:t>Opis sposobu przygotowania</w:t>
        </w:r>
        <w:r w:rsidR="00A92D16" w:rsidRPr="00247D1A">
          <w:rPr>
            <w:rStyle w:val="Hipercze"/>
            <w:noProof/>
            <w:spacing w:val="-2"/>
          </w:rPr>
          <w:t xml:space="preserve"> </w:t>
        </w:r>
        <w:r w:rsidR="00A92D16" w:rsidRPr="00247D1A">
          <w:rPr>
            <w:rStyle w:val="Hipercze"/>
            <w:noProof/>
          </w:rPr>
          <w:t>oferty</w:t>
        </w:r>
        <w:r w:rsidR="00A92D16">
          <w:rPr>
            <w:noProof/>
            <w:webHidden/>
          </w:rPr>
          <w:tab/>
        </w:r>
        <w:r w:rsidR="00A92D16">
          <w:rPr>
            <w:noProof/>
            <w:webHidden/>
          </w:rPr>
          <w:fldChar w:fldCharType="begin"/>
        </w:r>
        <w:r w:rsidR="00A92D16">
          <w:rPr>
            <w:noProof/>
            <w:webHidden/>
          </w:rPr>
          <w:instrText xml:space="preserve"> PAGEREF _Toc108419050 \h </w:instrText>
        </w:r>
        <w:r w:rsidR="00A92D16">
          <w:rPr>
            <w:noProof/>
            <w:webHidden/>
          </w:rPr>
        </w:r>
        <w:r w:rsidR="00A92D16">
          <w:rPr>
            <w:noProof/>
            <w:webHidden/>
          </w:rPr>
          <w:fldChar w:fldCharType="separate"/>
        </w:r>
        <w:r>
          <w:rPr>
            <w:noProof/>
            <w:webHidden/>
          </w:rPr>
          <w:t>6</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1" w:history="1">
        <w:r w:rsidR="00A92D16" w:rsidRPr="00247D1A">
          <w:rPr>
            <w:rStyle w:val="Hipercze"/>
            <w:noProof/>
          </w:rPr>
          <w:t>XII</w:t>
        </w:r>
        <w:r w:rsidR="00A92D16">
          <w:rPr>
            <w:rFonts w:asciiTheme="minorHAnsi" w:eastAsiaTheme="minorEastAsia" w:hAnsiTheme="minorHAnsi" w:cstheme="minorBidi"/>
            <w:bCs w:val="0"/>
            <w:noProof/>
            <w:szCs w:val="22"/>
            <w:lang w:eastAsia="pl-PL"/>
          </w:rPr>
          <w:tab/>
        </w:r>
        <w:r w:rsidR="00A92D16" w:rsidRPr="00247D1A">
          <w:rPr>
            <w:rStyle w:val="Hipercze"/>
            <w:noProof/>
          </w:rPr>
          <w:t>Sposób oraz termin składania</w:t>
        </w:r>
        <w:r w:rsidR="00A92D16" w:rsidRPr="00247D1A">
          <w:rPr>
            <w:rStyle w:val="Hipercze"/>
            <w:noProof/>
            <w:spacing w:val="-4"/>
          </w:rPr>
          <w:t xml:space="preserve"> </w:t>
        </w:r>
        <w:r w:rsidR="00A92D16" w:rsidRPr="00247D1A">
          <w:rPr>
            <w:rStyle w:val="Hipercze"/>
            <w:noProof/>
          </w:rPr>
          <w:t>ofert</w:t>
        </w:r>
        <w:r w:rsidR="00A92D16">
          <w:rPr>
            <w:noProof/>
            <w:webHidden/>
          </w:rPr>
          <w:tab/>
        </w:r>
        <w:r w:rsidR="00A92D16">
          <w:rPr>
            <w:noProof/>
            <w:webHidden/>
          </w:rPr>
          <w:fldChar w:fldCharType="begin"/>
        </w:r>
        <w:r w:rsidR="00A92D16">
          <w:rPr>
            <w:noProof/>
            <w:webHidden/>
          </w:rPr>
          <w:instrText xml:space="preserve"> PAGEREF _Toc108419051 \h </w:instrText>
        </w:r>
        <w:r w:rsidR="00A92D16">
          <w:rPr>
            <w:noProof/>
            <w:webHidden/>
          </w:rPr>
        </w:r>
        <w:r w:rsidR="00A92D16">
          <w:rPr>
            <w:noProof/>
            <w:webHidden/>
          </w:rPr>
          <w:fldChar w:fldCharType="separate"/>
        </w:r>
        <w:r>
          <w:rPr>
            <w:noProof/>
            <w:webHidden/>
          </w:rPr>
          <w:t>7</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2" w:history="1">
        <w:r w:rsidR="00A92D16" w:rsidRPr="00247D1A">
          <w:rPr>
            <w:rStyle w:val="Hipercze"/>
            <w:noProof/>
          </w:rPr>
          <w:t>XIII</w:t>
        </w:r>
        <w:r w:rsidR="00A92D16">
          <w:rPr>
            <w:rFonts w:asciiTheme="minorHAnsi" w:eastAsiaTheme="minorEastAsia" w:hAnsiTheme="minorHAnsi" w:cstheme="minorBidi"/>
            <w:bCs w:val="0"/>
            <w:noProof/>
            <w:szCs w:val="22"/>
            <w:lang w:eastAsia="pl-PL"/>
          </w:rPr>
          <w:tab/>
        </w:r>
        <w:r w:rsidR="00A92D16" w:rsidRPr="00247D1A">
          <w:rPr>
            <w:rStyle w:val="Hipercze"/>
            <w:noProof/>
          </w:rPr>
          <w:t>Termin otwarcia ofert</w:t>
        </w:r>
        <w:r w:rsidR="00A92D16">
          <w:rPr>
            <w:noProof/>
            <w:webHidden/>
          </w:rPr>
          <w:tab/>
        </w:r>
        <w:r w:rsidR="00A92D16">
          <w:rPr>
            <w:noProof/>
            <w:webHidden/>
          </w:rPr>
          <w:fldChar w:fldCharType="begin"/>
        </w:r>
        <w:r w:rsidR="00A92D16">
          <w:rPr>
            <w:noProof/>
            <w:webHidden/>
          </w:rPr>
          <w:instrText xml:space="preserve"> PAGEREF _Toc108419052 \h </w:instrText>
        </w:r>
        <w:r w:rsidR="00A92D16">
          <w:rPr>
            <w:noProof/>
            <w:webHidden/>
          </w:rPr>
        </w:r>
        <w:r w:rsidR="00A92D16">
          <w:rPr>
            <w:noProof/>
            <w:webHidden/>
          </w:rPr>
          <w:fldChar w:fldCharType="separate"/>
        </w:r>
        <w:r>
          <w:rPr>
            <w:noProof/>
            <w:webHidden/>
          </w:rPr>
          <w:t>7</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3" w:history="1">
        <w:r w:rsidR="00A92D16" w:rsidRPr="00247D1A">
          <w:rPr>
            <w:rStyle w:val="Hipercze"/>
            <w:noProof/>
          </w:rPr>
          <w:t>XIV</w:t>
        </w:r>
        <w:r w:rsidR="00A92D16">
          <w:rPr>
            <w:rFonts w:asciiTheme="minorHAnsi" w:eastAsiaTheme="minorEastAsia" w:hAnsiTheme="minorHAnsi" w:cstheme="minorBidi"/>
            <w:bCs w:val="0"/>
            <w:noProof/>
            <w:szCs w:val="22"/>
            <w:lang w:eastAsia="pl-PL"/>
          </w:rPr>
          <w:tab/>
        </w:r>
        <w:r w:rsidR="00A92D16" w:rsidRPr="00247D1A">
          <w:rPr>
            <w:rStyle w:val="Hipercze"/>
            <w:noProof/>
          </w:rPr>
          <w:t>Podstawy</w:t>
        </w:r>
        <w:r w:rsidR="00A92D16" w:rsidRPr="00247D1A">
          <w:rPr>
            <w:rStyle w:val="Hipercze"/>
            <w:noProof/>
            <w:spacing w:val="-2"/>
          </w:rPr>
          <w:t xml:space="preserve"> </w:t>
        </w:r>
        <w:r w:rsidR="00A92D16" w:rsidRPr="00247D1A">
          <w:rPr>
            <w:rStyle w:val="Hipercze"/>
            <w:noProof/>
          </w:rPr>
          <w:t>wykluczenia</w:t>
        </w:r>
        <w:r w:rsidR="00A92D16">
          <w:rPr>
            <w:noProof/>
            <w:webHidden/>
          </w:rPr>
          <w:tab/>
        </w:r>
        <w:r w:rsidR="00A92D16">
          <w:rPr>
            <w:noProof/>
            <w:webHidden/>
          </w:rPr>
          <w:fldChar w:fldCharType="begin"/>
        </w:r>
        <w:r w:rsidR="00A92D16">
          <w:rPr>
            <w:noProof/>
            <w:webHidden/>
          </w:rPr>
          <w:instrText xml:space="preserve"> PAGEREF _Toc108419053 \h </w:instrText>
        </w:r>
        <w:r w:rsidR="00A92D16">
          <w:rPr>
            <w:noProof/>
            <w:webHidden/>
          </w:rPr>
        </w:r>
        <w:r w:rsidR="00A92D16">
          <w:rPr>
            <w:noProof/>
            <w:webHidden/>
          </w:rPr>
          <w:fldChar w:fldCharType="separate"/>
        </w:r>
        <w:r>
          <w:rPr>
            <w:noProof/>
            <w:webHidden/>
          </w:rPr>
          <w:t>8</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4" w:history="1">
        <w:r w:rsidR="00A92D16" w:rsidRPr="00247D1A">
          <w:rPr>
            <w:rStyle w:val="Hipercze"/>
            <w:noProof/>
          </w:rPr>
          <w:t>XV</w:t>
        </w:r>
        <w:r w:rsidR="00A92D16">
          <w:rPr>
            <w:rFonts w:asciiTheme="minorHAnsi" w:eastAsiaTheme="minorEastAsia" w:hAnsiTheme="minorHAnsi" w:cstheme="minorBidi"/>
            <w:bCs w:val="0"/>
            <w:noProof/>
            <w:szCs w:val="22"/>
            <w:lang w:eastAsia="pl-PL"/>
          </w:rPr>
          <w:tab/>
        </w:r>
        <w:r w:rsidR="00A92D16" w:rsidRPr="00247D1A">
          <w:rPr>
            <w:rStyle w:val="Hipercze"/>
            <w:noProof/>
          </w:rPr>
          <w:t>Warunki udziału w postępowaniu</w:t>
        </w:r>
        <w:r w:rsidR="00A92D16">
          <w:rPr>
            <w:noProof/>
            <w:webHidden/>
          </w:rPr>
          <w:tab/>
        </w:r>
        <w:r w:rsidR="00A92D16">
          <w:rPr>
            <w:noProof/>
            <w:webHidden/>
          </w:rPr>
          <w:fldChar w:fldCharType="begin"/>
        </w:r>
        <w:r w:rsidR="00A92D16">
          <w:rPr>
            <w:noProof/>
            <w:webHidden/>
          </w:rPr>
          <w:instrText xml:space="preserve"> PAGEREF _Toc108419054 \h </w:instrText>
        </w:r>
        <w:r w:rsidR="00A92D16">
          <w:rPr>
            <w:noProof/>
            <w:webHidden/>
          </w:rPr>
        </w:r>
        <w:r w:rsidR="00A92D16">
          <w:rPr>
            <w:noProof/>
            <w:webHidden/>
          </w:rPr>
          <w:fldChar w:fldCharType="separate"/>
        </w:r>
        <w:r>
          <w:rPr>
            <w:noProof/>
            <w:webHidden/>
          </w:rPr>
          <w:t>10</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5" w:history="1">
        <w:r w:rsidR="00A92D16" w:rsidRPr="00247D1A">
          <w:rPr>
            <w:rStyle w:val="Hipercze"/>
            <w:noProof/>
          </w:rPr>
          <w:t>XVI</w:t>
        </w:r>
        <w:r w:rsidR="00A92D16">
          <w:rPr>
            <w:rFonts w:asciiTheme="minorHAnsi" w:eastAsiaTheme="minorEastAsia" w:hAnsiTheme="minorHAnsi" w:cstheme="minorBidi"/>
            <w:bCs w:val="0"/>
            <w:noProof/>
            <w:szCs w:val="22"/>
            <w:lang w:eastAsia="pl-PL"/>
          </w:rPr>
          <w:tab/>
        </w:r>
        <w:r w:rsidR="00A92D16" w:rsidRPr="00247D1A">
          <w:rPr>
            <w:rStyle w:val="Hipercze"/>
            <w:noProof/>
          </w:rPr>
          <w:t>Sposób obliczenia</w:t>
        </w:r>
        <w:r w:rsidR="00A92D16" w:rsidRPr="00247D1A">
          <w:rPr>
            <w:rStyle w:val="Hipercze"/>
            <w:noProof/>
            <w:spacing w:val="-4"/>
          </w:rPr>
          <w:t xml:space="preserve"> </w:t>
        </w:r>
        <w:r w:rsidR="00A92D16" w:rsidRPr="00247D1A">
          <w:rPr>
            <w:rStyle w:val="Hipercze"/>
            <w:noProof/>
          </w:rPr>
          <w:t>ceny</w:t>
        </w:r>
        <w:r w:rsidR="00A92D16">
          <w:rPr>
            <w:noProof/>
            <w:webHidden/>
          </w:rPr>
          <w:tab/>
        </w:r>
        <w:r w:rsidR="00A92D16">
          <w:rPr>
            <w:noProof/>
            <w:webHidden/>
          </w:rPr>
          <w:fldChar w:fldCharType="begin"/>
        </w:r>
        <w:r w:rsidR="00A92D16">
          <w:rPr>
            <w:noProof/>
            <w:webHidden/>
          </w:rPr>
          <w:instrText xml:space="preserve"> PAGEREF _Toc108419055 \h </w:instrText>
        </w:r>
        <w:r w:rsidR="00A92D16">
          <w:rPr>
            <w:noProof/>
            <w:webHidden/>
          </w:rPr>
        </w:r>
        <w:r w:rsidR="00A92D16">
          <w:rPr>
            <w:noProof/>
            <w:webHidden/>
          </w:rPr>
          <w:fldChar w:fldCharType="separate"/>
        </w:r>
        <w:r>
          <w:rPr>
            <w:noProof/>
            <w:webHidden/>
          </w:rPr>
          <w:t>12</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6" w:history="1">
        <w:r w:rsidR="00A92D16" w:rsidRPr="00247D1A">
          <w:rPr>
            <w:rStyle w:val="Hipercze"/>
            <w:noProof/>
          </w:rPr>
          <w:t>XVII</w:t>
        </w:r>
        <w:r w:rsidR="00A92D16">
          <w:rPr>
            <w:rFonts w:asciiTheme="minorHAnsi" w:eastAsiaTheme="minorEastAsia" w:hAnsiTheme="minorHAnsi" w:cstheme="minorBidi"/>
            <w:bCs w:val="0"/>
            <w:noProof/>
            <w:szCs w:val="22"/>
            <w:lang w:eastAsia="pl-PL"/>
          </w:rPr>
          <w:tab/>
        </w:r>
        <w:r w:rsidR="00A92D16" w:rsidRPr="00247D1A">
          <w:rPr>
            <w:rStyle w:val="Hipercze"/>
            <w:noProof/>
          </w:rPr>
          <w:t>Opis kryteriów oceny ofert, wraz z podaniem wag tych kryteriów i sposobu oceny</w:t>
        </w:r>
        <w:r w:rsidR="00A92D16" w:rsidRPr="00247D1A">
          <w:rPr>
            <w:rStyle w:val="Hipercze"/>
            <w:noProof/>
            <w:spacing w:val="-1"/>
          </w:rPr>
          <w:t xml:space="preserve"> </w:t>
        </w:r>
        <w:r w:rsidR="00A92D16" w:rsidRPr="00247D1A">
          <w:rPr>
            <w:rStyle w:val="Hipercze"/>
            <w:noProof/>
          </w:rPr>
          <w:t>ofert</w:t>
        </w:r>
        <w:r w:rsidR="00A92D16">
          <w:rPr>
            <w:noProof/>
            <w:webHidden/>
          </w:rPr>
          <w:tab/>
        </w:r>
        <w:r w:rsidR="00A92D16">
          <w:rPr>
            <w:noProof/>
            <w:webHidden/>
          </w:rPr>
          <w:fldChar w:fldCharType="begin"/>
        </w:r>
        <w:r w:rsidR="00A92D16">
          <w:rPr>
            <w:noProof/>
            <w:webHidden/>
          </w:rPr>
          <w:instrText xml:space="preserve"> PAGEREF _Toc108419056 \h </w:instrText>
        </w:r>
        <w:r w:rsidR="00A92D16">
          <w:rPr>
            <w:noProof/>
            <w:webHidden/>
          </w:rPr>
        </w:r>
        <w:r w:rsidR="00A92D16">
          <w:rPr>
            <w:noProof/>
            <w:webHidden/>
          </w:rPr>
          <w:fldChar w:fldCharType="separate"/>
        </w:r>
        <w:r>
          <w:rPr>
            <w:noProof/>
            <w:webHidden/>
          </w:rPr>
          <w:t>13</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7" w:history="1">
        <w:r w:rsidR="00A92D16" w:rsidRPr="00247D1A">
          <w:rPr>
            <w:rStyle w:val="Hipercze"/>
            <w:noProof/>
          </w:rPr>
          <w:t>XVIII</w:t>
        </w:r>
        <w:r w:rsidR="00A92D16">
          <w:rPr>
            <w:rFonts w:asciiTheme="minorHAnsi" w:eastAsiaTheme="minorEastAsia" w:hAnsiTheme="minorHAnsi" w:cstheme="minorBidi"/>
            <w:bCs w:val="0"/>
            <w:noProof/>
            <w:szCs w:val="22"/>
            <w:lang w:eastAsia="pl-PL"/>
          </w:rPr>
          <w:tab/>
        </w:r>
        <w:r w:rsidR="00A92D16" w:rsidRPr="00247D1A">
          <w:rPr>
            <w:rStyle w:val="Hipercze"/>
            <w:noProof/>
          </w:rPr>
          <w:t>Informacje o formalnościach, jakie muszą zostać dopełnione po wyborze oferty w celu zawarcia umowy w sprawie zamówienia</w:t>
        </w:r>
        <w:r w:rsidR="00A92D16" w:rsidRPr="00247D1A">
          <w:rPr>
            <w:rStyle w:val="Hipercze"/>
            <w:noProof/>
            <w:spacing w:val="-17"/>
          </w:rPr>
          <w:t xml:space="preserve"> </w:t>
        </w:r>
        <w:r w:rsidR="00A92D16" w:rsidRPr="00247D1A">
          <w:rPr>
            <w:rStyle w:val="Hipercze"/>
            <w:noProof/>
          </w:rPr>
          <w:t>publicznego</w:t>
        </w:r>
        <w:r w:rsidR="00A92D16">
          <w:rPr>
            <w:noProof/>
            <w:webHidden/>
          </w:rPr>
          <w:tab/>
        </w:r>
        <w:r w:rsidR="00A92D16">
          <w:rPr>
            <w:noProof/>
            <w:webHidden/>
          </w:rPr>
          <w:fldChar w:fldCharType="begin"/>
        </w:r>
        <w:r w:rsidR="00A92D16">
          <w:rPr>
            <w:noProof/>
            <w:webHidden/>
          </w:rPr>
          <w:instrText xml:space="preserve"> PAGEREF _Toc108419057 \h </w:instrText>
        </w:r>
        <w:r w:rsidR="00A92D16">
          <w:rPr>
            <w:noProof/>
            <w:webHidden/>
          </w:rPr>
        </w:r>
        <w:r w:rsidR="00A92D16">
          <w:rPr>
            <w:noProof/>
            <w:webHidden/>
          </w:rPr>
          <w:fldChar w:fldCharType="separate"/>
        </w:r>
        <w:r>
          <w:rPr>
            <w:noProof/>
            <w:webHidden/>
          </w:rPr>
          <w:t>15</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8" w:history="1">
        <w:r w:rsidR="00A92D16" w:rsidRPr="00247D1A">
          <w:rPr>
            <w:rStyle w:val="Hipercze"/>
            <w:noProof/>
          </w:rPr>
          <w:t>XIX</w:t>
        </w:r>
        <w:r w:rsidR="00A92D16">
          <w:rPr>
            <w:rFonts w:asciiTheme="minorHAnsi" w:eastAsiaTheme="minorEastAsia" w:hAnsiTheme="minorHAnsi" w:cstheme="minorBidi"/>
            <w:bCs w:val="0"/>
            <w:noProof/>
            <w:szCs w:val="22"/>
            <w:lang w:eastAsia="pl-PL"/>
          </w:rPr>
          <w:tab/>
        </w:r>
        <w:r w:rsidR="00A92D16" w:rsidRPr="00247D1A">
          <w:rPr>
            <w:rStyle w:val="Hipercze"/>
            <w:noProof/>
          </w:rPr>
          <w:t>Pouczenie o środkach ochrony prawnej przysługujących</w:t>
        </w:r>
        <w:r w:rsidR="00A92D16" w:rsidRPr="00247D1A">
          <w:rPr>
            <w:rStyle w:val="Hipercze"/>
            <w:noProof/>
            <w:spacing w:val="-8"/>
          </w:rPr>
          <w:t xml:space="preserve"> </w:t>
        </w:r>
        <w:r w:rsidR="00A92D16" w:rsidRPr="00247D1A">
          <w:rPr>
            <w:rStyle w:val="Hipercze"/>
            <w:noProof/>
          </w:rPr>
          <w:t>Wykonawcy</w:t>
        </w:r>
        <w:r w:rsidR="00A92D16">
          <w:rPr>
            <w:noProof/>
            <w:webHidden/>
          </w:rPr>
          <w:tab/>
        </w:r>
        <w:r w:rsidR="00A92D16">
          <w:rPr>
            <w:noProof/>
            <w:webHidden/>
          </w:rPr>
          <w:fldChar w:fldCharType="begin"/>
        </w:r>
        <w:r w:rsidR="00A92D16">
          <w:rPr>
            <w:noProof/>
            <w:webHidden/>
          </w:rPr>
          <w:instrText xml:space="preserve"> PAGEREF _Toc108419058 \h </w:instrText>
        </w:r>
        <w:r w:rsidR="00A92D16">
          <w:rPr>
            <w:noProof/>
            <w:webHidden/>
          </w:rPr>
        </w:r>
        <w:r w:rsidR="00A92D16">
          <w:rPr>
            <w:noProof/>
            <w:webHidden/>
          </w:rPr>
          <w:fldChar w:fldCharType="separate"/>
        </w:r>
        <w:r>
          <w:rPr>
            <w:noProof/>
            <w:webHidden/>
          </w:rPr>
          <w:t>15</w:t>
        </w:r>
        <w:r w:rsidR="00A92D16">
          <w:rPr>
            <w:noProof/>
            <w:webHidden/>
          </w:rPr>
          <w:fldChar w:fldCharType="end"/>
        </w:r>
      </w:hyperlink>
    </w:p>
    <w:p w:rsidR="00A92D16" w:rsidRDefault="003677D0">
      <w:pPr>
        <w:pStyle w:val="Spistreci2"/>
        <w:tabs>
          <w:tab w:val="right" w:leader="dot" w:pos="9628"/>
        </w:tabs>
        <w:rPr>
          <w:rFonts w:asciiTheme="minorHAnsi" w:eastAsiaTheme="minorEastAsia" w:hAnsiTheme="minorHAnsi" w:cstheme="minorBidi"/>
          <w:bCs w:val="0"/>
          <w:noProof/>
          <w:szCs w:val="22"/>
          <w:lang w:eastAsia="pl-PL"/>
        </w:rPr>
      </w:pPr>
      <w:hyperlink w:anchor="_Toc108419059" w:history="1">
        <w:r w:rsidR="00A92D16" w:rsidRPr="00247D1A">
          <w:rPr>
            <w:rStyle w:val="Hipercze"/>
            <w:noProof/>
          </w:rPr>
          <w:t>XX</w:t>
        </w:r>
        <w:r w:rsidR="00A92D16">
          <w:rPr>
            <w:rFonts w:asciiTheme="minorHAnsi" w:eastAsiaTheme="minorEastAsia" w:hAnsiTheme="minorHAnsi" w:cstheme="minorBidi"/>
            <w:bCs w:val="0"/>
            <w:noProof/>
            <w:szCs w:val="22"/>
            <w:lang w:eastAsia="pl-PL"/>
          </w:rPr>
          <w:tab/>
        </w:r>
        <w:r w:rsidR="00A92D16" w:rsidRPr="00247D1A">
          <w:rPr>
            <w:rStyle w:val="Hipercze"/>
            <w:noProof/>
          </w:rPr>
          <w:t>KLAUZULA INFORMACYJNA w związku z postępowaniem o udzielenie zamówienia publicznego</w:t>
        </w:r>
        <w:r w:rsidR="00A92D16">
          <w:rPr>
            <w:noProof/>
            <w:webHidden/>
          </w:rPr>
          <w:tab/>
        </w:r>
        <w:r w:rsidR="00A92D16">
          <w:rPr>
            <w:noProof/>
            <w:webHidden/>
          </w:rPr>
          <w:fldChar w:fldCharType="begin"/>
        </w:r>
        <w:r w:rsidR="00A92D16">
          <w:rPr>
            <w:noProof/>
            <w:webHidden/>
          </w:rPr>
          <w:instrText xml:space="preserve"> PAGEREF _Toc108419059 \h </w:instrText>
        </w:r>
        <w:r w:rsidR="00A92D16">
          <w:rPr>
            <w:noProof/>
            <w:webHidden/>
          </w:rPr>
        </w:r>
        <w:r w:rsidR="00A92D16">
          <w:rPr>
            <w:noProof/>
            <w:webHidden/>
          </w:rPr>
          <w:fldChar w:fldCharType="separate"/>
        </w:r>
        <w:r>
          <w:rPr>
            <w:noProof/>
            <w:webHidden/>
          </w:rPr>
          <w:t>16</w:t>
        </w:r>
        <w:r w:rsidR="00A92D16">
          <w:rPr>
            <w:noProof/>
            <w:webHidden/>
          </w:rPr>
          <w:fldChar w:fldCharType="end"/>
        </w:r>
      </w:hyperlink>
    </w:p>
    <w:p w:rsidR="00A92D16" w:rsidRDefault="003677D0">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8419060" w:history="1">
        <w:r w:rsidR="00A92D16" w:rsidRPr="00247D1A">
          <w:rPr>
            <w:rStyle w:val="Hipercze"/>
            <w:noProof/>
          </w:rPr>
          <w:t>Rozdział II -</w:t>
        </w:r>
        <w:r w:rsidR="00A92D16">
          <w:rPr>
            <w:rFonts w:asciiTheme="minorHAnsi" w:eastAsiaTheme="minorEastAsia" w:hAnsiTheme="minorHAnsi" w:cstheme="minorBidi"/>
            <w:b w:val="0"/>
            <w:bCs w:val="0"/>
            <w:noProof/>
            <w:szCs w:val="22"/>
            <w:lang w:eastAsia="pl-PL"/>
          </w:rPr>
          <w:tab/>
        </w:r>
        <w:r w:rsidR="00A92D16" w:rsidRPr="00247D1A">
          <w:rPr>
            <w:rStyle w:val="Hipercze"/>
            <w:noProof/>
          </w:rPr>
          <w:t>Załączniki do</w:t>
        </w:r>
        <w:r w:rsidR="00A92D16" w:rsidRPr="00247D1A">
          <w:rPr>
            <w:rStyle w:val="Hipercze"/>
            <w:noProof/>
            <w:spacing w:val="-1"/>
          </w:rPr>
          <w:t xml:space="preserve"> </w:t>
        </w:r>
        <w:r w:rsidR="00A92D16" w:rsidRPr="00247D1A">
          <w:rPr>
            <w:rStyle w:val="Hipercze"/>
            <w:noProof/>
          </w:rPr>
          <w:t>SWZ</w:t>
        </w:r>
        <w:r w:rsidR="00A92D16">
          <w:rPr>
            <w:noProof/>
            <w:webHidden/>
          </w:rPr>
          <w:tab/>
        </w:r>
        <w:r w:rsidR="00A92D16">
          <w:rPr>
            <w:noProof/>
            <w:webHidden/>
          </w:rPr>
          <w:fldChar w:fldCharType="begin"/>
        </w:r>
        <w:r w:rsidR="00A92D16">
          <w:rPr>
            <w:noProof/>
            <w:webHidden/>
          </w:rPr>
          <w:instrText xml:space="preserve"> PAGEREF _Toc108419060 \h </w:instrText>
        </w:r>
        <w:r w:rsidR="00A92D16">
          <w:rPr>
            <w:noProof/>
            <w:webHidden/>
          </w:rPr>
        </w:r>
        <w:r w:rsidR="00A92D16">
          <w:rPr>
            <w:noProof/>
            <w:webHidden/>
          </w:rPr>
          <w:fldChar w:fldCharType="separate"/>
        </w:r>
        <w:r>
          <w:rPr>
            <w:noProof/>
            <w:webHidden/>
          </w:rPr>
          <w:t>19</w:t>
        </w:r>
        <w:r w:rsidR="00A92D16">
          <w:rPr>
            <w:noProof/>
            <w:webHidden/>
          </w:rPr>
          <w:fldChar w:fldCharType="end"/>
        </w:r>
      </w:hyperlink>
    </w:p>
    <w:p w:rsidR="00A92D16" w:rsidRDefault="003677D0">
      <w:pPr>
        <w:pStyle w:val="Spistreci3"/>
        <w:tabs>
          <w:tab w:val="right" w:leader="dot" w:pos="9628"/>
        </w:tabs>
        <w:rPr>
          <w:rFonts w:asciiTheme="minorHAnsi" w:eastAsiaTheme="minorEastAsia" w:hAnsiTheme="minorHAnsi" w:cstheme="minorBidi"/>
          <w:noProof/>
        </w:rPr>
      </w:pPr>
      <w:hyperlink w:anchor="_Toc108419061" w:history="1">
        <w:r w:rsidR="00A92D16" w:rsidRPr="00247D1A">
          <w:rPr>
            <w:rStyle w:val="Hipercze"/>
            <w:noProof/>
          </w:rPr>
          <w:t>Załącznik Nr 1 do SWZ - FORMULARZ OFERTY</w:t>
        </w:r>
        <w:r w:rsidR="00A92D16">
          <w:rPr>
            <w:noProof/>
            <w:webHidden/>
          </w:rPr>
          <w:tab/>
        </w:r>
        <w:r w:rsidR="00A92D16">
          <w:rPr>
            <w:noProof/>
            <w:webHidden/>
          </w:rPr>
          <w:fldChar w:fldCharType="begin"/>
        </w:r>
        <w:r w:rsidR="00A92D16">
          <w:rPr>
            <w:noProof/>
            <w:webHidden/>
          </w:rPr>
          <w:instrText xml:space="preserve"> PAGEREF _Toc108419061 \h </w:instrText>
        </w:r>
        <w:r w:rsidR="00A92D16">
          <w:rPr>
            <w:noProof/>
            <w:webHidden/>
          </w:rPr>
        </w:r>
        <w:r w:rsidR="00A92D16">
          <w:rPr>
            <w:noProof/>
            <w:webHidden/>
          </w:rPr>
          <w:fldChar w:fldCharType="separate"/>
        </w:r>
        <w:r>
          <w:rPr>
            <w:noProof/>
            <w:webHidden/>
          </w:rPr>
          <w:t>19</w:t>
        </w:r>
        <w:r w:rsidR="00A92D16">
          <w:rPr>
            <w:noProof/>
            <w:webHidden/>
          </w:rPr>
          <w:fldChar w:fldCharType="end"/>
        </w:r>
      </w:hyperlink>
    </w:p>
    <w:p w:rsidR="00A92D16" w:rsidRDefault="003677D0">
      <w:pPr>
        <w:pStyle w:val="Spistreci3"/>
        <w:tabs>
          <w:tab w:val="right" w:leader="dot" w:pos="9628"/>
        </w:tabs>
        <w:rPr>
          <w:rFonts w:asciiTheme="minorHAnsi" w:eastAsiaTheme="minorEastAsia" w:hAnsiTheme="minorHAnsi" w:cstheme="minorBidi"/>
          <w:noProof/>
        </w:rPr>
      </w:pPr>
      <w:hyperlink w:anchor="_Toc108419062" w:history="1">
        <w:r w:rsidR="00A92D16" w:rsidRPr="00247D1A">
          <w:rPr>
            <w:rStyle w:val="Hipercze"/>
            <w:noProof/>
          </w:rPr>
          <w:t>Załącznik Nr 2 do SWZ - JEDZ</w:t>
        </w:r>
        <w:r w:rsidR="00A92D16">
          <w:rPr>
            <w:noProof/>
            <w:webHidden/>
          </w:rPr>
          <w:tab/>
        </w:r>
        <w:r w:rsidR="00A92D16">
          <w:rPr>
            <w:noProof/>
            <w:webHidden/>
          </w:rPr>
          <w:fldChar w:fldCharType="begin"/>
        </w:r>
        <w:r w:rsidR="00A92D16">
          <w:rPr>
            <w:noProof/>
            <w:webHidden/>
          </w:rPr>
          <w:instrText xml:space="preserve"> PAGEREF _Toc108419062 \h </w:instrText>
        </w:r>
        <w:r w:rsidR="00A92D16">
          <w:rPr>
            <w:noProof/>
            <w:webHidden/>
          </w:rPr>
        </w:r>
        <w:r w:rsidR="00A92D16">
          <w:rPr>
            <w:noProof/>
            <w:webHidden/>
          </w:rPr>
          <w:fldChar w:fldCharType="separate"/>
        </w:r>
        <w:r>
          <w:rPr>
            <w:noProof/>
            <w:webHidden/>
          </w:rPr>
          <w:t>23</w:t>
        </w:r>
        <w:r w:rsidR="00A92D16">
          <w:rPr>
            <w:noProof/>
            <w:webHidden/>
          </w:rPr>
          <w:fldChar w:fldCharType="end"/>
        </w:r>
      </w:hyperlink>
    </w:p>
    <w:p w:rsidR="00A92D16" w:rsidRDefault="003677D0">
      <w:pPr>
        <w:pStyle w:val="Spistreci3"/>
        <w:tabs>
          <w:tab w:val="right" w:leader="dot" w:pos="9628"/>
        </w:tabs>
        <w:rPr>
          <w:rFonts w:asciiTheme="minorHAnsi" w:eastAsiaTheme="minorEastAsia" w:hAnsiTheme="minorHAnsi" w:cstheme="minorBidi"/>
          <w:noProof/>
        </w:rPr>
      </w:pPr>
      <w:hyperlink w:anchor="_Toc108419063" w:history="1">
        <w:r w:rsidR="00A92D16" w:rsidRPr="00247D1A">
          <w:rPr>
            <w:rStyle w:val="Hipercze"/>
            <w:iCs/>
            <w:noProof/>
            <w:snapToGrid w:val="0"/>
          </w:rPr>
          <w:t xml:space="preserve">Załącznik Nr 3 </w:t>
        </w:r>
        <w:r w:rsidR="00A92D16" w:rsidRPr="00247D1A">
          <w:rPr>
            <w:rStyle w:val="Hipercze"/>
            <w:iCs/>
            <w:noProof/>
          </w:rPr>
          <w:t xml:space="preserve">do SWZ – </w:t>
        </w:r>
        <w:r w:rsidR="00A92D16" w:rsidRPr="00247D1A">
          <w:rPr>
            <w:rStyle w:val="Hipercze"/>
            <w:noProof/>
          </w:rPr>
          <w:t>Oświadczenie dot. przynależności do grupy kapitałowej</w:t>
        </w:r>
        <w:r w:rsidR="00A92D16">
          <w:rPr>
            <w:noProof/>
            <w:webHidden/>
          </w:rPr>
          <w:tab/>
        </w:r>
        <w:r w:rsidR="00A92D16">
          <w:rPr>
            <w:noProof/>
            <w:webHidden/>
          </w:rPr>
          <w:fldChar w:fldCharType="begin"/>
        </w:r>
        <w:r w:rsidR="00A92D16">
          <w:rPr>
            <w:noProof/>
            <w:webHidden/>
          </w:rPr>
          <w:instrText xml:space="preserve"> PAGEREF _Toc108419063 \h </w:instrText>
        </w:r>
        <w:r w:rsidR="00A92D16">
          <w:rPr>
            <w:noProof/>
            <w:webHidden/>
          </w:rPr>
        </w:r>
        <w:r w:rsidR="00A92D16">
          <w:rPr>
            <w:noProof/>
            <w:webHidden/>
          </w:rPr>
          <w:fldChar w:fldCharType="separate"/>
        </w:r>
        <w:r>
          <w:rPr>
            <w:noProof/>
            <w:webHidden/>
          </w:rPr>
          <w:t>24</w:t>
        </w:r>
        <w:r w:rsidR="00A92D16">
          <w:rPr>
            <w:noProof/>
            <w:webHidden/>
          </w:rPr>
          <w:fldChar w:fldCharType="end"/>
        </w:r>
      </w:hyperlink>
    </w:p>
    <w:p w:rsidR="00A92D16" w:rsidRDefault="003677D0">
      <w:pPr>
        <w:pStyle w:val="Spistreci3"/>
        <w:tabs>
          <w:tab w:val="right" w:leader="dot" w:pos="9628"/>
        </w:tabs>
        <w:rPr>
          <w:rFonts w:asciiTheme="minorHAnsi" w:eastAsiaTheme="minorEastAsia" w:hAnsiTheme="minorHAnsi" w:cstheme="minorBidi"/>
          <w:noProof/>
        </w:rPr>
      </w:pPr>
      <w:hyperlink w:anchor="_Toc108419064" w:history="1">
        <w:r w:rsidR="00A92D16" w:rsidRPr="00247D1A">
          <w:rPr>
            <w:rStyle w:val="Hipercze"/>
            <w:noProof/>
          </w:rPr>
          <w:t>Załącznik Nr 4 do SWZ – Oświadczenie dot. sankcji</w:t>
        </w:r>
        <w:r w:rsidR="00A92D16">
          <w:rPr>
            <w:noProof/>
            <w:webHidden/>
          </w:rPr>
          <w:tab/>
        </w:r>
        <w:r w:rsidR="00A92D16">
          <w:rPr>
            <w:noProof/>
            <w:webHidden/>
          </w:rPr>
          <w:fldChar w:fldCharType="begin"/>
        </w:r>
        <w:r w:rsidR="00A92D16">
          <w:rPr>
            <w:noProof/>
            <w:webHidden/>
          </w:rPr>
          <w:instrText xml:space="preserve"> PAGEREF _Toc108419064 \h </w:instrText>
        </w:r>
        <w:r w:rsidR="00A92D16">
          <w:rPr>
            <w:noProof/>
            <w:webHidden/>
          </w:rPr>
        </w:r>
        <w:r w:rsidR="00A92D16">
          <w:rPr>
            <w:noProof/>
            <w:webHidden/>
          </w:rPr>
          <w:fldChar w:fldCharType="separate"/>
        </w:r>
        <w:r>
          <w:rPr>
            <w:noProof/>
            <w:webHidden/>
          </w:rPr>
          <w:t>25</w:t>
        </w:r>
        <w:r w:rsidR="00A92D16">
          <w:rPr>
            <w:noProof/>
            <w:webHidden/>
          </w:rPr>
          <w:fldChar w:fldCharType="end"/>
        </w:r>
      </w:hyperlink>
    </w:p>
    <w:p w:rsidR="00A92D16" w:rsidRDefault="003677D0">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8419065" w:history="1">
        <w:r w:rsidR="00A92D16" w:rsidRPr="00247D1A">
          <w:rPr>
            <w:rStyle w:val="Hipercze"/>
            <w:noProof/>
          </w:rPr>
          <w:t>Rozdział III -</w:t>
        </w:r>
        <w:r w:rsidR="00A92D16">
          <w:rPr>
            <w:rFonts w:asciiTheme="minorHAnsi" w:eastAsiaTheme="minorEastAsia" w:hAnsiTheme="minorHAnsi" w:cstheme="minorBidi"/>
            <w:b w:val="0"/>
            <w:bCs w:val="0"/>
            <w:noProof/>
            <w:szCs w:val="22"/>
            <w:lang w:eastAsia="pl-PL"/>
          </w:rPr>
          <w:tab/>
        </w:r>
        <w:r w:rsidR="00A92D16" w:rsidRPr="00247D1A">
          <w:rPr>
            <w:rStyle w:val="Hipercze"/>
            <w:noProof/>
          </w:rPr>
          <w:t>Projektowane Postanowienia Umowy (PPU) wraz z załącznikami</w:t>
        </w:r>
        <w:r w:rsidR="00A92D16">
          <w:rPr>
            <w:noProof/>
            <w:webHidden/>
          </w:rPr>
          <w:tab/>
        </w:r>
        <w:r w:rsidR="00A92D16">
          <w:rPr>
            <w:noProof/>
            <w:webHidden/>
          </w:rPr>
          <w:fldChar w:fldCharType="begin"/>
        </w:r>
        <w:r w:rsidR="00A92D16">
          <w:rPr>
            <w:noProof/>
            <w:webHidden/>
          </w:rPr>
          <w:instrText xml:space="preserve"> PAGEREF _Toc108419065 \h </w:instrText>
        </w:r>
        <w:r w:rsidR="00A92D16">
          <w:rPr>
            <w:noProof/>
            <w:webHidden/>
          </w:rPr>
        </w:r>
        <w:r w:rsidR="00A92D16">
          <w:rPr>
            <w:noProof/>
            <w:webHidden/>
          </w:rPr>
          <w:fldChar w:fldCharType="separate"/>
        </w:r>
        <w:r>
          <w:rPr>
            <w:noProof/>
            <w:webHidden/>
          </w:rPr>
          <w:t>26</w:t>
        </w:r>
        <w:r w:rsidR="00A92D16">
          <w:rPr>
            <w:noProof/>
            <w:webHidden/>
          </w:rPr>
          <w:fldChar w:fldCharType="end"/>
        </w:r>
      </w:hyperlink>
    </w:p>
    <w:p w:rsidR="0026520C" w:rsidRDefault="00B92C7F" w:rsidP="006A414F">
      <w:pPr>
        <w:pStyle w:val="Spistreci1"/>
        <w:tabs>
          <w:tab w:val="left" w:pos="1540"/>
          <w:tab w:val="right" w:leader="dot" w:pos="9628"/>
        </w:tabs>
      </w:pPr>
      <w:r>
        <w:fldChar w:fldCharType="end"/>
      </w:r>
      <w:r w:rsidR="00C442F7">
        <w:br/>
      </w:r>
      <w:r w:rsidR="0026520C">
        <w:br w:type="page"/>
      </w:r>
    </w:p>
    <w:p w:rsidR="00804382" w:rsidRPr="002A33E4" w:rsidRDefault="00804382" w:rsidP="005A54BA">
      <w:pPr>
        <w:pStyle w:val="Nagwek1"/>
      </w:pPr>
      <w:bookmarkStart w:id="10" w:name="_Toc73476984"/>
      <w:bookmarkStart w:id="11" w:name="_Toc73477220"/>
      <w:bookmarkStart w:id="12" w:name="_Toc73477507"/>
      <w:bookmarkStart w:id="13" w:name="_Toc73477539"/>
      <w:bookmarkStart w:id="14" w:name="_Toc108419039"/>
      <w:r w:rsidRPr="002A33E4">
        <w:lastRenderedPageBreak/>
        <w:t>Informacje Ogólne</w:t>
      </w:r>
      <w:bookmarkEnd w:id="9"/>
      <w:bookmarkEnd w:id="10"/>
      <w:bookmarkEnd w:id="11"/>
      <w:bookmarkEnd w:id="12"/>
      <w:bookmarkEnd w:id="13"/>
      <w:bookmarkEnd w:id="14"/>
    </w:p>
    <w:p w:rsidR="00804382" w:rsidRPr="002A33E4" w:rsidRDefault="00804382" w:rsidP="005A54BA">
      <w:pPr>
        <w:pStyle w:val="Nagwek2"/>
      </w:pPr>
      <w:bookmarkStart w:id="15" w:name="_Toc63264279"/>
      <w:bookmarkStart w:id="16" w:name="_Toc73476985"/>
      <w:bookmarkStart w:id="17" w:name="_Toc73477221"/>
      <w:bookmarkStart w:id="18" w:name="_Toc73477508"/>
      <w:bookmarkStart w:id="19" w:name="_Toc73477540"/>
      <w:bookmarkStart w:id="20" w:name="_Toc108419040"/>
      <w:r w:rsidRPr="002A33E4">
        <w:t xml:space="preserve">Nazwa oraz </w:t>
      </w:r>
      <w:r w:rsidRPr="005A54BA">
        <w:t>adres</w:t>
      </w:r>
      <w:r w:rsidRPr="002A33E4">
        <w:rPr>
          <w:spacing w:val="-4"/>
        </w:rPr>
        <w:t xml:space="preserve"> </w:t>
      </w:r>
      <w:r w:rsidRPr="002A33E4">
        <w:t>Zamawiającego</w:t>
      </w:r>
      <w:bookmarkEnd w:id="15"/>
      <w:bookmarkEnd w:id="16"/>
      <w:bookmarkEnd w:id="17"/>
      <w:bookmarkEnd w:id="18"/>
      <w:bookmarkEnd w:id="19"/>
      <w:bookmarkEnd w:id="20"/>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1" w:name="_Toc63264280"/>
      <w:bookmarkStart w:id="22" w:name="_Toc73476986"/>
      <w:bookmarkStart w:id="23" w:name="_Toc73477222"/>
      <w:bookmarkStart w:id="24" w:name="_Toc73477509"/>
      <w:bookmarkStart w:id="25" w:name="_Toc73477541"/>
      <w:bookmarkStart w:id="26" w:name="_Toc108419041"/>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1"/>
      <w:bookmarkEnd w:id="22"/>
      <w:bookmarkEnd w:id="23"/>
      <w:bookmarkEnd w:id="24"/>
      <w:bookmarkEnd w:id="25"/>
      <w:bookmarkEnd w:id="26"/>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3064FB" w:rsidRPr="00E548D8">
          <w:rPr>
            <w:rStyle w:val="Hipercze"/>
          </w:rPr>
          <w:t>https://www.fsusr.gov.pl/bip/zamowienia-publiczne/zamowienia-objete-pzp.html</w:t>
        </w:r>
      </w:hyperlink>
      <w:r w:rsidR="003064FB">
        <w:t xml:space="preserve"> </w:t>
      </w:r>
      <w:r w:rsidRPr="002A33E4">
        <w:rPr>
          <w:rFonts w:cs="Arial"/>
          <w:lang w:val="en-US"/>
        </w:rPr>
        <w:t>.</w:t>
      </w:r>
    </w:p>
    <w:p w:rsidR="00804382" w:rsidRPr="002A33E4" w:rsidRDefault="00804382" w:rsidP="005A54BA">
      <w:pPr>
        <w:pStyle w:val="Nagwek2"/>
      </w:pPr>
      <w:bookmarkStart w:id="27" w:name="_Toc63264281"/>
      <w:bookmarkStart w:id="28" w:name="_Toc73476987"/>
      <w:bookmarkStart w:id="29" w:name="_Toc73477223"/>
      <w:bookmarkStart w:id="30" w:name="_Toc73477510"/>
      <w:bookmarkStart w:id="31" w:name="_Toc73477542"/>
      <w:bookmarkStart w:id="32" w:name="_Toc108419042"/>
      <w:r w:rsidRPr="002A33E4">
        <w:t xml:space="preserve">Tryb </w:t>
      </w:r>
      <w:r w:rsidRPr="005A54BA">
        <w:t>udzielenia</w:t>
      </w:r>
      <w:r w:rsidRPr="002A33E4">
        <w:rPr>
          <w:spacing w:val="-2"/>
        </w:rPr>
        <w:t xml:space="preserve"> </w:t>
      </w:r>
      <w:r w:rsidRPr="002A33E4">
        <w:t>zamówienia</w:t>
      </w:r>
      <w:bookmarkEnd w:id="27"/>
      <w:bookmarkEnd w:id="28"/>
      <w:bookmarkEnd w:id="29"/>
      <w:bookmarkEnd w:id="30"/>
      <w:bookmarkEnd w:id="31"/>
      <w:bookmarkEnd w:id="32"/>
    </w:p>
    <w:p w:rsidR="00804382" w:rsidRPr="002A33E4" w:rsidRDefault="00804382" w:rsidP="00142B2B">
      <w:pPr>
        <w:pStyle w:val="Akapitzlist"/>
        <w:numPr>
          <w:ilvl w:val="0"/>
          <w:numId w:val="14"/>
        </w:numPr>
        <w:ind w:left="426" w:hanging="426"/>
      </w:pPr>
      <w:bookmarkStart w:id="33" w:name="_Toc63264282"/>
      <w:bookmarkStart w:id="34"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3"/>
      <w:bookmarkEnd w:id="34"/>
    </w:p>
    <w:p w:rsidR="00804382" w:rsidRPr="002A33E4" w:rsidRDefault="00804382" w:rsidP="00142B2B">
      <w:pPr>
        <w:pStyle w:val="Akapitzlist"/>
        <w:numPr>
          <w:ilvl w:val="0"/>
          <w:numId w:val="14"/>
        </w:numPr>
        <w:ind w:left="426" w:hanging="426"/>
      </w:pPr>
      <w:bookmarkStart w:id="35" w:name="_Toc63264283"/>
      <w:bookmarkStart w:id="36" w:name="_Toc73476989"/>
      <w:r w:rsidRPr="002A33E4">
        <w:t>Zamówienie nie jest współfinansowane ze środków Unii Europejskiej</w:t>
      </w:r>
      <w:bookmarkEnd w:id="35"/>
      <w:r w:rsidR="0042122A" w:rsidRPr="002A33E4">
        <w:t>.</w:t>
      </w:r>
      <w:bookmarkEnd w:id="36"/>
    </w:p>
    <w:p w:rsidR="0042122A" w:rsidRPr="002A33E4" w:rsidRDefault="0042122A" w:rsidP="00142B2B">
      <w:pPr>
        <w:pStyle w:val="Akapitzlist"/>
        <w:numPr>
          <w:ilvl w:val="0"/>
          <w:numId w:val="14"/>
        </w:numPr>
        <w:ind w:left="426" w:hanging="426"/>
      </w:pPr>
      <w:bookmarkStart w:id="37"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7"/>
    </w:p>
    <w:p w:rsidR="006B6B05" w:rsidRPr="002A33E4" w:rsidRDefault="006B6B05" w:rsidP="008123E8">
      <w:bookmarkStart w:id="38"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8"/>
    </w:p>
    <w:p w:rsidR="00804382" w:rsidRPr="002A33E4" w:rsidRDefault="00804382" w:rsidP="005A54BA">
      <w:pPr>
        <w:pStyle w:val="Nagwek2"/>
      </w:pPr>
      <w:bookmarkStart w:id="39" w:name="_Toc63264284"/>
      <w:bookmarkStart w:id="40" w:name="_Toc73476992"/>
      <w:bookmarkStart w:id="41" w:name="_Toc73477224"/>
      <w:bookmarkStart w:id="42" w:name="_Toc73477511"/>
      <w:bookmarkStart w:id="43" w:name="_Toc73477543"/>
      <w:bookmarkStart w:id="44" w:name="_Toc108419043"/>
      <w:r w:rsidRPr="002A33E4">
        <w:t>Informacja</w:t>
      </w:r>
      <w:bookmarkEnd w:id="39"/>
      <w:r w:rsidR="003A3BEB" w:rsidRPr="002A33E4">
        <w:t xml:space="preserve"> o przewidywanym wybo</w:t>
      </w:r>
      <w:r w:rsidR="00752669">
        <w:t>rze najkorzystniejszej oferty z </w:t>
      </w:r>
      <w:r w:rsidR="003A3BEB" w:rsidRPr="002A33E4">
        <w:t>zastosowaniem aukcji elektronicznej</w:t>
      </w:r>
      <w:bookmarkEnd w:id="40"/>
      <w:bookmarkEnd w:id="41"/>
      <w:bookmarkEnd w:id="42"/>
      <w:bookmarkEnd w:id="43"/>
      <w:bookmarkEnd w:id="44"/>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5" w:name="_Toc63264285"/>
      <w:bookmarkStart w:id="46" w:name="_Toc73476993"/>
      <w:bookmarkStart w:id="47" w:name="_Toc73477225"/>
      <w:bookmarkStart w:id="48" w:name="_Toc73477512"/>
      <w:bookmarkStart w:id="49" w:name="_Toc73477544"/>
      <w:bookmarkStart w:id="50" w:name="_Toc108419044"/>
      <w:r w:rsidRPr="002A33E4">
        <w:t>Opis przedmiotu</w:t>
      </w:r>
      <w:r w:rsidRPr="002A33E4">
        <w:rPr>
          <w:spacing w:val="-1"/>
        </w:rPr>
        <w:t xml:space="preserve"> </w:t>
      </w:r>
      <w:r w:rsidRPr="002A33E4">
        <w:t>zamówienia</w:t>
      </w:r>
      <w:bookmarkEnd w:id="45"/>
      <w:bookmarkEnd w:id="46"/>
      <w:bookmarkEnd w:id="47"/>
      <w:bookmarkEnd w:id="48"/>
      <w:bookmarkEnd w:id="49"/>
      <w:bookmarkEnd w:id="50"/>
    </w:p>
    <w:p w:rsidR="001F161B" w:rsidRPr="000F19D6" w:rsidRDefault="00863C28" w:rsidP="00A10FAD">
      <w:pPr>
        <w:pStyle w:val="Akapitzlist"/>
        <w:numPr>
          <w:ilvl w:val="0"/>
          <w:numId w:val="2"/>
        </w:numPr>
        <w:ind w:left="284" w:hanging="284"/>
        <w:rPr>
          <w:rFonts w:eastAsia="Arial Narrow" w:cs="Arial"/>
        </w:rPr>
      </w:pPr>
      <w:bookmarkStart w:id="51" w:name="_Toc63264286"/>
      <w:r w:rsidRPr="000F19D6">
        <w:rPr>
          <w:rFonts w:cs="Arial"/>
        </w:rPr>
        <w:t>Przedmiotem zamówienia jest</w:t>
      </w:r>
      <w:r w:rsidR="00A10FAD" w:rsidRPr="000F19D6">
        <w:rPr>
          <w:rFonts w:cs="Arial"/>
        </w:rPr>
        <w:t xml:space="preserve"> </w:t>
      </w:r>
      <w:r w:rsidR="000F19D6" w:rsidRPr="000F19D6">
        <w:rPr>
          <w:rFonts w:cs="Arial"/>
        </w:rPr>
        <w:t>k</w:t>
      </w:r>
      <w:r w:rsidR="00642DCC" w:rsidRPr="000F19D6">
        <w:rPr>
          <w:rFonts w:cs="Arial"/>
        </w:rPr>
        <w:t>ompleksowa obsługa bankowa FS</w:t>
      </w:r>
      <w:r w:rsidR="00A10FAD" w:rsidRPr="000F19D6">
        <w:rPr>
          <w:rFonts w:cs="Arial"/>
        </w:rPr>
        <w:t xml:space="preserve">USR </w:t>
      </w:r>
      <w:r w:rsidR="00C97BCD">
        <w:rPr>
          <w:bCs/>
        </w:rPr>
        <w:t xml:space="preserve">w latach 2022 – 2025 </w:t>
      </w:r>
      <w:r w:rsidR="00EC1BA3" w:rsidRPr="000F19D6">
        <w:rPr>
          <w:rFonts w:cs="Arial"/>
        </w:rPr>
        <w:t xml:space="preserve">- </w:t>
      </w:r>
      <w:r w:rsidR="00A10FAD" w:rsidRPr="000F19D6">
        <w:rPr>
          <w:rFonts w:cs="Arial"/>
        </w:rPr>
        <w:t>w podziale na 2 części:</w:t>
      </w:r>
    </w:p>
    <w:p w:rsidR="00642DCC" w:rsidRDefault="00A10FAD" w:rsidP="00642DCC">
      <w:pPr>
        <w:ind w:left="1134" w:right="20" w:hanging="850"/>
        <w:rPr>
          <w:rFonts w:eastAsia="Arial Narrow" w:cs="Arial"/>
        </w:rPr>
      </w:pPr>
      <w:r w:rsidRPr="00A10FAD">
        <w:rPr>
          <w:rFonts w:eastAsia="Arial Narrow" w:cs="Arial"/>
        </w:rPr>
        <w:t xml:space="preserve">część 1 </w:t>
      </w:r>
      <w:r>
        <w:rPr>
          <w:rFonts w:eastAsia="Arial Narrow" w:cs="Arial"/>
        </w:rPr>
        <w:tab/>
      </w:r>
      <w:r w:rsidRPr="00A10FAD">
        <w:rPr>
          <w:rFonts w:eastAsia="Arial Narrow" w:cs="Arial"/>
        </w:rPr>
        <w:t xml:space="preserve">- </w:t>
      </w:r>
      <w:r w:rsidR="00642DCC">
        <w:rPr>
          <w:rFonts w:eastAsia="Arial Narrow" w:cs="Arial"/>
        </w:rPr>
        <w:t>kompleksowa</w:t>
      </w:r>
      <w:r w:rsidRPr="00A10FAD">
        <w:rPr>
          <w:rFonts w:eastAsia="Arial Narrow" w:cs="Arial"/>
        </w:rPr>
        <w:t xml:space="preserve"> </w:t>
      </w:r>
      <w:r w:rsidR="00642DCC" w:rsidRPr="00A10FAD">
        <w:rPr>
          <w:rFonts w:eastAsia="Arial Narrow" w:cs="Arial"/>
        </w:rPr>
        <w:t xml:space="preserve">obsługa </w:t>
      </w:r>
      <w:r w:rsidR="00642DCC">
        <w:rPr>
          <w:rFonts w:eastAsia="Arial Narrow" w:cs="Arial"/>
        </w:rPr>
        <w:t>bankowa</w:t>
      </w:r>
      <w:r w:rsidRPr="00A10FAD">
        <w:rPr>
          <w:rFonts w:eastAsia="Arial Narrow" w:cs="Arial"/>
        </w:rPr>
        <w:t>,</w:t>
      </w:r>
    </w:p>
    <w:p w:rsidR="00EC1BA3" w:rsidRDefault="00A10FAD" w:rsidP="00642DCC">
      <w:pPr>
        <w:ind w:left="1134" w:right="20" w:hanging="850"/>
        <w:rPr>
          <w:rFonts w:eastAsia="Arial Narrow" w:cs="Arial"/>
        </w:rPr>
      </w:pPr>
      <w:r w:rsidRPr="00A10FAD">
        <w:rPr>
          <w:rFonts w:eastAsia="Arial Narrow" w:cs="Arial"/>
        </w:rPr>
        <w:t xml:space="preserve">część 2 </w:t>
      </w:r>
      <w:r>
        <w:rPr>
          <w:rFonts w:eastAsia="Arial Narrow" w:cs="Arial"/>
        </w:rPr>
        <w:tab/>
      </w:r>
      <w:r w:rsidRPr="00A10FAD">
        <w:rPr>
          <w:rFonts w:eastAsia="Arial Narrow" w:cs="Arial"/>
        </w:rPr>
        <w:t>-</w:t>
      </w:r>
      <w:r w:rsidR="00904363">
        <w:rPr>
          <w:rFonts w:eastAsia="Arial Narrow" w:cs="Arial"/>
        </w:rPr>
        <w:t xml:space="preserve"> </w:t>
      </w:r>
      <w:r w:rsidR="00642DCC">
        <w:rPr>
          <w:rFonts w:eastAsia="Arial Narrow" w:cs="Arial"/>
        </w:rPr>
        <w:t>kompleksowa</w:t>
      </w:r>
      <w:r w:rsidR="00642DCC" w:rsidRPr="00A10FAD">
        <w:rPr>
          <w:rFonts w:eastAsia="Arial Narrow" w:cs="Arial"/>
        </w:rPr>
        <w:t xml:space="preserve"> obsługa </w:t>
      </w:r>
      <w:r w:rsidR="00642DCC">
        <w:rPr>
          <w:rFonts w:eastAsia="Arial Narrow" w:cs="Arial"/>
        </w:rPr>
        <w:t>bankowa</w:t>
      </w:r>
      <w:bookmarkEnd w:id="51"/>
      <w:r w:rsidR="00E61577">
        <w:rPr>
          <w:rFonts w:eastAsia="Arial Narrow" w:cs="Arial"/>
        </w:rPr>
        <w:t>,</w:t>
      </w:r>
    </w:p>
    <w:p w:rsidR="00804382" w:rsidRPr="00202E73" w:rsidRDefault="00EC1BA3" w:rsidP="0098013F">
      <w:pPr>
        <w:widowControl/>
        <w:ind w:left="284" w:right="20"/>
        <w:rPr>
          <w:rFonts w:eastAsia="Calibri" w:cs="Arial"/>
        </w:rPr>
      </w:pPr>
      <w:r w:rsidRPr="00EC1BA3">
        <w:rPr>
          <w:rFonts w:eastAsia="Calibri" w:cs="Arial"/>
        </w:rPr>
        <w:t xml:space="preserve">przy czym </w:t>
      </w:r>
      <w:r>
        <w:rPr>
          <w:rFonts w:eastAsia="Calibri" w:cs="Arial"/>
        </w:rPr>
        <w:t>dla</w:t>
      </w:r>
      <w:r w:rsidRPr="00EC1BA3">
        <w:rPr>
          <w:rFonts w:eastAsia="Calibri" w:cs="Arial"/>
        </w:rPr>
        <w:t xml:space="preserve"> każdej części</w:t>
      </w:r>
      <w:r>
        <w:rPr>
          <w:rFonts w:eastAsia="Calibri" w:cs="Arial"/>
        </w:rPr>
        <w:t xml:space="preserve"> </w:t>
      </w:r>
      <w:r w:rsidRPr="00B34AF4">
        <w:rPr>
          <w:rFonts w:eastAsia="Calibri" w:cs="Arial"/>
        </w:rPr>
        <w:t xml:space="preserve">odrębnie - wykonywanie operacji </w:t>
      </w:r>
      <w:r w:rsidR="00073102" w:rsidRPr="00B34AF4">
        <w:rPr>
          <w:rFonts w:eastAsia="Calibri" w:cs="Arial"/>
        </w:rPr>
        <w:t xml:space="preserve">z </w:t>
      </w:r>
      <w:r w:rsidRPr="00B34AF4">
        <w:rPr>
          <w:rFonts w:eastAsia="Calibri" w:cs="Arial"/>
        </w:rPr>
        <w:t>lokowanie</w:t>
      </w:r>
      <w:r w:rsidR="006E3CA3" w:rsidRPr="00B34AF4">
        <w:rPr>
          <w:rFonts w:eastAsia="Calibri" w:cs="Arial"/>
        </w:rPr>
        <w:t>m</w:t>
      </w:r>
      <w:r w:rsidRPr="00B34AF4">
        <w:rPr>
          <w:rFonts w:eastAsia="Calibri" w:cs="Arial"/>
        </w:rPr>
        <w:t xml:space="preserve"> środków do maksymalnej kwoty 130 mln zł,</w:t>
      </w:r>
      <w:r w:rsidR="00202E73" w:rsidRPr="00B34AF4">
        <w:rPr>
          <w:rFonts w:eastAsia="Calibri" w:cs="Arial"/>
        </w:rPr>
        <w:t xml:space="preserve"> zgodnie z Rozporządzeniem Ministra Rolnictwa i Rozwoju Wsi w sprawie sposobu prowadzenia gospodarki finansowej Kasy Rolniczego Ubezpieczenia Społecznego z dnia 21 grudnia 2018 r. (Dz.U</w:t>
      </w:r>
      <w:r w:rsidR="00202E73">
        <w:rPr>
          <w:rFonts w:eastAsia="Calibri" w:cs="Arial"/>
        </w:rPr>
        <w:t xml:space="preserve">. z 2019 r. poz. 114). </w:t>
      </w:r>
    </w:p>
    <w:p w:rsidR="00804382" w:rsidRPr="002A33E4" w:rsidRDefault="00804382" w:rsidP="008E736E">
      <w:pPr>
        <w:pStyle w:val="Akapitzlist"/>
        <w:numPr>
          <w:ilvl w:val="0"/>
          <w:numId w:val="2"/>
        </w:numPr>
        <w:ind w:left="284" w:hanging="284"/>
        <w:rPr>
          <w:rFonts w:cs="Arial"/>
        </w:rPr>
      </w:pPr>
      <w:bookmarkStart w:id="52" w:name="_Toc63264294"/>
      <w:bookmarkStart w:id="53" w:name="_Toc73476997"/>
      <w:r w:rsidRPr="002A33E4">
        <w:rPr>
          <w:rFonts w:cs="Arial"/>
        </w:rPr>
        <w:t>Wykonawca zobowiązany jest zrealizować zamówienie na z</w:t>
      </w:r>
      <w:r w:rsidR="00752669">
        <w:rPr>
          <w:rFonts w:cs="Arial"/>
        </w:rPr>
        <w:t>asadach i warunkach opisanych w </w:t>
      </w:r>
      <w:r w:rsidR="00EC7365">
        <w:rPr>
          <w:rFonts w:cs="Arial"/>
        </w:rPr>
        <w:t xml:space="preserve">SWZ, w tym </w:t>
      </w:r>
      <w:r w:rsidRPr="002A33E4">
        <w:rPr>
          <w:rFonts w:cs="Arial"/>
        </w:rPr>
        <w:t>PPU stanowiąc</w:t>
      </w:r>
      <w:r w:rsidR="00EC7365">
        <w:rPr>
          <w:rFonts w:cs="Arial"/>
        </w:rPr>
        <w:t>e</w:t>
      </w:r>
      <w:r w:rsidRPr="002A33E4">
        <w:rPr>
          <w:rFonts w:cs="Arial"/>
        </w:rPr>
        <w:t xml:space="preserve"> Rozdział III SWZ</w:t>
      </w:r>
      <w:r w:rsidR="003071F2">
        <w:rPr>
          <w:rFonts w:cs="Arial"/>
        </w:rPr>
        <w:t xml:space="preserve">, </w:t>
      </w:r>
      <w:bookmarkEnd w:id="52"/>
      <w:bookmarkEnd w:id="53"/>
      <w:r w:rsidR="00A95BBD">
        <w:rPr>
          <w:rFonts w:cs="Arial"/>
        </w:rPr>
        <w:t>zawiera</w:t>
      </w:r>
      <w:r w:rsidR="003071F2">
        <w:rPr>
          <w:rFonts w:cs="Arial"/>
        </w:rPr>
        <w:t>jący</w:t>
      </w:r>
      <w:r w:rsidR="00A95BBD">
        <w:rPr>
          <w:rFonts w:cs="Arial"/>
        </w:rPr>
        <w:t xml:space="preserve"> szczegółowy opis przedmiotu zamówienia.</w:t>
      </w:r>
    </w:p>
    <w:p w:rsidR="00804382" w:rsidRPr="002A33E4" w:rsidRDefault="00804382" w:rsidP="008E736E">
      <w:pPr>
        <w:pStyle w:val="Akapitzlist"/>
        <w:numPr>
          <w:ilvl w:val="0"/>
          <w:numId w:val="2"/>
        </w:numPr>
        <w:ind w:left="284" w:hanging="284"/>
        <w:rPr>
          <w:rFonts w:cs="Arial"/>
        </w:rPr>
      </w:pPr>
      <w:bookmarkStart w:id="54" w:name="_Toc63264299"/>
      <w:bookmarkStart w:id="55" w:name="_Toc73477000"/>
      <w:r w:rsidRPr="002A33E4">
        <w:rPr>
          <w:rFonts w:cs="Arial"/>
        </w:rPr>
        <w:t>Oznaczenie przedmiotu zamówienia według kodu Wspólnego Słownika Zamówień CPV:</w:t>
      </w:r>
      <w:bookmarkEnd w:id="54"/>
      <w:bookmarkEnd w:id="55"/>
      <w:r w:rsidRPr="002A33E4">
        <w:rPr>
          <w:rFonts w:cs="Arial"/>
        </w:rPr>
        <w:t xml:space="preserve"> </w:t>
      </w:r>
    </w:p>
    <w:p w:rsidR="00804382" w:rsidRPr="002A33E4" w:rsidRDefault="001F161B" w:rsidP="00AA4D24">
      <w:pPr>
        <w:ind w:left="284"/>
      </w:pPr>
      <w:bookmarkStart w:id="56" w:name="_Toc73477001"/>
      <w:r w:rsidRPr="001F161B">
        <w:rPr>
          <w:lang w:eastAsia="pl-PL"/>
        </w:rPr>
        <w:t>66100000-1</w:t>
      </w:r>
      <w:r w:rsidR="00F42234" w:rsidRPr="002A33E4">
        <w:rPr>
          <w:lang w:eastAsia="pl-PL"/>
        </w:rPr>
        <w:t xml:space="preserve"> - </w:t>
      </w:r>
      <w:r w:rsidRPr="001F161B">
        <w:rPr>
          <w:lang w:eastAsia="pl-PL"/>
        </w:rPr>
        <w:t>Usługi bankowe i inwestycyjne</w:t>
      </w:r>
      <w:r>
        <w:rPr>
          <w:lang w:eastAsia="pl-PL"/>
        </w:rPr>
        <w:t xml:space="preserve">, </w:t>
      </w:r>
      <w:r w:rsidRPr="001F161B">
        <w:rPr>
          <w:lang w:eastAsia="pl-PL"/>
        </w:rPr>
        <w:t>66110000-4</w:t>
      </w:r>
      <w:r>
        <w:rPr>
          <w:lang w:eastAsia="pl-PL"/>
        </w:rPr>
        <w:t xml:space="preserve"> - </w:t>
      </w:r>
      <w:r w:rsidRPr="001F161B">
        <w:rPr>
          <w:lang w:eastAsia="pl-PL"/>
        </w:rPr>
        <w:t>Usługi bankowe</w:t>
      </w:r>
      <w:r w:rsidR="004976F0" w:rsidRPr="002A33E4">
        <w:t>.</w:t>
      </w:r>
      <w:bookmarkEnd w:id="56"/>
    </w:p>
    <w:p w:rsidR="00804382" w:rsidRPr="002A33E4" w:rsidRDefault="00804382" w:rsidP="005A54BA">
      <w:pPr>
        <w:pStyle w:val="Nagwek2"/>
      </w:pPr>
      <w:bookmarkStart w:id="57" w:name="_Toc63264301"/>
      <w:bookmarkStart w:id="58" w:name="_Toc73477002"/>
      <w:bookmarkStart w:id="59" w:name="_Toc73477226"/>
      <w:bookmarkStart w:id="60" w:name="_Toc73477513"/>
      <w:bookmarkStart w:id="61" w:name="_Toc73477545"/>
      <w:bookmarkStart w:id="62" w:name="_Toc108419045"/>
      <w:r w:rsidRPr="002A33E4">
        <w:lastRenderedPageBreak/>
        <w:t>Termin wykonania</w:t>
      </w:r>
      <w:r w:rsidRPr="002A33E4">
        <w:rPr>
          <w:spacing w:val="-2"/>
        </w:rPr>
        <w:t xml:space="preserve"> </w:t>
      </w:r>
      <w:r w:rsidRPr="002A33E4">
        <w:t>zamówienia</w:t>
      </w:r>
      <w:bookmarkEnd w:id="57"/>
      <w:bookmarkEnd w:id="58"/>
      <w:bookmarkEnd w:id="59"/>
      <w:bookmarkEnd w:id="60"/>
      <w:bookmarkEnd w:id="61"/>
      <w:r w:rsidR="00C17D4C">
        <w:t xml:space="preserve"> (dotyczy każdej z części)</w:t>
      </w:r>
      <w:bookmarkEnd w:id="62"/>
    </w:p>
    <w:p w:rsidR="005B189D" w:rsidRDefault="00A13069" w:rsidP="008865BF">
      <w:pPr>
        <w:pStyle w:val="Akapitzlist"/>
        <w:widowControl/>
        <w:autoSpaceDE/>
        <w:autoSpaceDN/>
        <w:spacing w:before="0"/>
        <w:ind w:left="426"/>
        <w:contextualSpacing/>
      </w:pPr>
      <w:bookmarkStart w:id="63" w:name="_Toc63264304"/>
      <w:bookmarkStart w:id="64" w:name="_Toc73477008"/>
      <w:bookmarkStart w:id="65" w:name="_Toc73477227"/>
      <w:bookmarkStart w:id="66" w:name="_Toc73477514"/>
      <w:bookmarkStart w:id="67" w:name="_Toc73477546"/>
      <w:r>
        <w:t xml:space="preserve">Przewiduje się, że usługa będzie świadczona </w:t>
      </w:r>
      <w:r w:rsidR="006F600A" w:rsidRPr="006F600A">
        <w:rPr>
          <w:b/>
        </w:rPr>
        <w:t xml:space="preserve">przez okres </w:t>
      </w:r>
      <w:r w:rsidR="00C17D4C">
        <w:rPr>
          <w:b/>
        </w:rPr>
        <w:t>minimum 12</w:t>
      </w:r>
      <w:r w:rsidR="006F600A" w:rsidRPr="006F600A">
        <w:rPr>
          <w:b/>
        </w:rPr>
        <w:t xml:space="preserve"> m-</w:t>
      </w:r>
      <w:proofErr w:type="spellStart"/>
      <w:r w:rsidR="006F600A" w:rsidRPr="006F600A">
        <w:rPr>
          <w:b/>
        </w:rPr>
        <w:t>cy</w:t>
      </w:r>
      <w:proofErr w:type="spellEnd"/>
      <w:r w:rsidR="00073102">
        <w:rPr>
          <w:b/>
        </w:rPr>
        <w:t xml:space="preserve"> od zawarcia umowy</w:t>
      </w:r>
      <w:r w:rsidR="006F600A" w:rsidRPr="006F600A">
        <w:rPr>
          <w:b/>
        </w:rPr>
        <w:t xml:space="preserve">, z wyłączeniem </w:t>
      </w:r>
      <w:r w:rsidR="00073102">
        <w:rPr>
          <w:b/>
        </w:rPr>
        <w:t>udostępnienia systemu bankowości elektronicznej, o któr</w:t>
      </w:r>
      <w:r w:rsidR="00CC0263">
        <w:rPr>
          <w:b/>
        </w:rPr>
        <w:t>ym</w:t>
      </w:r>
      <w:r w:rsidR="00073102">
        <w:rPr>
          <w:b/>
        </w:rPr>
        <w:t xml:space="preserve"> mowa w </w:t>
      </w:r>
      <w:r w:rsidR="008A0462">
        <w:rPr>
          <w:b/>
        </w:rPr>
        <w:t xml:space="preserve">Opisie Przedmiotu zamówienia </w:t>
      </w:r>
      <w:r w:rsidR="00073102">
        <w:rPr>
          <w:b/>
        </w:rPr>
        <w:t xml:space="preserve">pkt </w:t>
      </w:r>
      <w:r w:rsidR="008A0462">
        <w:rPr>
          <w:b/>
        </w:rPr>
        <w:t xml:space="preserve">1. </w:t>
      </w:r>
      <w:r w:rsidR="00073102">
        <w:rPr>
          <w:b/>
        </w:rPr>
        <w:t xml:space="preserve"> – który jest okresem dodatkowym</w:t>
      </w:r>
      <w:r w:rsidR="005B189D" w:rsidRPr="005B189D">
        <w:t>.</w:t>
      </w:r>
    </w:p>
    <w:p w:rsidR="005E1838" w:rsidRDefault="005E1838" w:rsidP="008865BF">
      <w:pPr>
        <w:pStyle w:val="Akapitzlist"/>
        <w:widowControl/>
        <w:autoSpaceDE/>
        <w:autoSpaceDN/>
        <w:spacing w:before="0"/>
        <w:ind w:left="426"/>
        <w:contextualSpacing/>
      </w:pPr>
      <w:r>
        <w:t>Zamawiający zastrzega możliwość przedłużenia realizacji umowy o kolejne 12 m-</w:t>
      </w:r>
      <w:proofErr w:type="spellStart"/>
      <w:r>
        <w:t>cy</w:t>
      </w:r>
      <w:proofErr w:type="spellEnd"/>
      <w:r>
        <w:t>, przy czym maksymalnie umowa może trwać 36 m-</w:t>
      </w:r>
      <w:proofErr w:type="spellStart"/>
      <w:r>
        <w:t>cy</w:t>
      </w:r>
      <w:proofErr w:type="spellEnd"/>
      <w:r w:rsidR="00C15767">
        <w:t>, tj. do 2025 r.</w:t>
      </w:r>
    </w:p>
    <w:p w:rsidR="00A92CBC" w:rsidRDefault="00A92CBC" w:rsidP="008865BF">
      <w:pPr>
        <w:pStyle w:val="Akapitzlist"/>
        <w:widowControl/>
        <w:autoSpaceDE/>
        <w:autoSpaceDN/>
        <w:spacing w:before="0"/>
        <w:ind w:left="426"/>
        <w:contextualSpacing/>
      </w:pPr>
      <w:r>
        <w:t>Warunki przedłużenia umowy określono w PPU.</w:t>
      </w:r>
    </w:p>
    <w:p w:rsidR="00804382" w:rsidRPr="002A33E4" w:rsidRDefault="00804382" w:rsidP="005A54BA">
      <w:pPr>
        <w:pStyle w:val="Nagwek2"/>
      </w:pPr>
      <w:bookmarkStart w:id="68" w:name="_Toc108419046"/>
      <w:r w:rsidRPr="002A33E4">
        <w:t>Projektowane postanowienia umowy w sprawie zamówienia publicznego, które zostaną wprowadzone do treści tej</w:t>
      </w:r>
      <w:r w:rsidRPr="002A33E4">
        <w:rPr>
          <w:spacing w:val="-5"/>
        </w:rPr>
        <w:t xml:space="preserve"> </w:t>
      </w:r>
      <w:r w:rsidRPr="002A33E4">
        <w:t>umowy</w:t>
      </w:r>
      <w:bookmarkEnd w:id="63"/>
      <w:bookmarkEnd w:id="64"/>
      <w:bookmarkEnd w:id="65"/>
      <w:bookmarkEnd w:id="66"/>
      <w:bookmarkEnd w:id="67"/>
      <w:bookmarkEnd w:id="68"/>
    </w:p>
    <w:p w:rsidR="00804382" w:rsidRPr="002A33E4" w:rsidRDefault="00804382" w:rsidP="00142B2B">
      <w:pPr>
        <w:pStyle w:val="Akapitzlist"/>
        <w:numPr>
          <w:ilvl w:val="0"/>
          <w:numId w:val="15"/>
        </w:numPr>
        <w:ind w:left="284" w:hanging="284"/>
      </w:pPr>
      <w:bookmarkStart w:id="69" w:name="_Toc63264305"/>
      <w:bookmarkStart w:id="70"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5D65A9">
        <w:t xml:space="preserve">odpowiednio </w:t>
      </w:r>
      <w:r w:rsidR="002F310E" w:rsidRPr="005D65A9">
        <w:t xml:space="preserve">  pkt. XIV. </w:t>
      </w:r>
      <w:r w:rsidRPr="005D65A9">
        <w:t>PPU.</w:t>
      </w:r>
      <w:bookmarkEnd w:id="69"/>
      <w:bookmarkEnd w:id="70"/>
    </w:p>
    <w:p w:rsidR="00804382" w:rsidRPr="002A33E4" w:rsidRDefault="00804382" w:rsidP="00142B2B">
      <w:pPr>
        <w:pStyle w:val="Akapitzlist"/>
        <w:numPr>
          <w:ilvl w:val="0"/>
          <w:numId w:val="15"/>
        </w:numPr>
        <w:ind w:left="284" w:hanging="284"/>
        <w:rPr>
          <w:rFonts w:cs="Arial"/>
          <w:u w:val="single"/>
        </w:rPr>
      </w:pPr>
      <w:bookmarkStart w:id="71" w:name="_Toc63264306"/>
      <w:bookmarkStart w:id="72" w:name="_Toc73477010"/>
      <w:r w:rsidRPr="002A33E4">
        <w:rPr>
          <w:rFonts w:cs="Arial"/>
          <w:u w:val="single"/>
        </w:rPr>
        <w:t>Wymagania w zakresie zatrudnienia na podstawie stosunku pracy</w:t>
      </w:r>
      <w:bookmarkEnd w:id="71"/>
      <w:bookmarkEnd w:id="72"/>
    </w:p>
    <w:p w:rsidR="00804382" w:rsidRPr="005D65A9" w:rsidRDefault="00B11FDE" w:rsidP="00142B2B">
      <w:pPr>
        <w:pStyle w:val="Akapitzlist"/>
        <w:numPr>
          <w:ilvl w:val="1"/>
          <w:numId w:val="15"/>
        </w:numPr>
      </w:pPr>
      <w:bookmarkStart w:id="73" w:name="_Toc63264307"/>
      <w:bookmarkStart w:id="74" w:name="_Toc66021278"/>
      <w:r w:rsidRPr="005D65A9">
        <w:rPr>
          <w:rFonts w:cs="Arial"/>
        </w:rPr>
        <w:t xml:space="preserve">Na podstawie art. 95 </w:t>
      </w:r>
      <w:proofErr w:type="spellStart"/>
      <w:r w:rsidRPr="005D65A9">
        <w:rPr>
          <w:rFonts w:cs="Arial"/>
        </w:rPr>
        <w:t>pzp</w:t>
      </w:r>
      <w:proofErr w:type="spellEnd"/>
      <w:r w:rsidRPr="005D65A9">
        <w:rPr>
          <w:rFonts w:cs="Arial"/>
        </w:rPr>
        <w:t xml:space="preserve"> Zamawiający określa, iż czynności bezpośrednio związane z realizacją przedmiotu zamówienia, mają być wykonywane przez osoby zatrudnione przez Wykonawcę lub jego podwykonawców na podstawie umowy o pracę w rozumieniu przepisów ustawy z dnia 26 czerwca 1974 r. - Kodeks pracy (Dz. U. z 2021 r. poz. 1162) na odpowiednim do rodzaju ich pracy stanowisku, co najmniej przez okres realizacji niniejszej umowy. Wymóg ten dotyczy osób, które wykonują czynności bezpośrednio związane z obsługą umowy</w:t>
      </w:r>
      <w:r w:rsidR="00CB2E9D" w:rsidRPr="005D65A9">
        <w:rPr>
          <w:rFonts w:cs="Arial"/>
        </w:rPr>
        <w:t xml:space="preserve"> np. kontakt z Zamawiającym – </w:t>
      </w:r>
      <w:r w:rsidR="00CB2E9D" w:rsidRPr="005D65A9">
        <w:rPr>
          <w:rFonts w:cs="Arial"/>
          <w:b/>
          <w:bCs/>
        </w:rPr>
        <w:t xml:space="preserve">tj. osoby wykonującej czynności doradcy bankowego, </w:t>
      </w:r>
      <w:bookmarkEnd w:id="73"/>
      <w:bookmarkEnd w:id="74"/>
    </w:p>
    <w:p w:rsidR="00804382" w:rsidRPr="002A33E4" w:rsidRDefault="00804382" w:rsidP="00142B2B">
      <w:pPr>
        <w:pStyle w:val="Akapitzlist"/>
        <w:numPr>
          <w:ilvl w:val="1"/>
          <w:numId w:val="15"/>
        </w:numPr>
        <w:rPr>
          <w:rFonts w:cs="Arial"/>
        </w:rPr>
      </w:pPr>
      <w:bookmarkStart w:id="75" w:name="_Toc63264308"/>
      <w:bookmarkStart w:id="76" w:name="_Toc73477012"/>
      <w:r w:rsidRPr="005D65A9">
        <w:rPr>
          <w:rFonts w:cs="Arial"/>
        </w:rPr>
        <w:t>Zamawiający zastrzega prawo do sprawdzenia realizowania te</w:t>
      </w:r>
      <w:r w:rsidR="005F1D54" w:rsidRPr="005D65A9">
        <w:rPr>
          <w:rFonts w:cs="Arial"/>
        </w:rPr>
        <w:t>go</w:t>
      </w:r>
      <w:r w:rsidR="005F1D54" w:rsidRPr="002A33E4">
        <w:rPr>
          <w:rFonts w:cs="Arial"/>
        </w:rPr>
        <w:t xml:space="preserve"> obowiązku przez Wykonawcę, a </w:t>
      </w:r>
      <w:r w:rsidRPr="002A33E4">
        <w:rPr>
          <w:rFonts w:cs="Arial"/>
        </w:rPr>
        <w:t>w przypadku naruszenia postanowień umowy do naliczenia z tego tytułu kar umownych.</w:t>
      </w:r>
      <w:bookmarkEnd w:id="75"/>
      <w:bookmarkEnd w:id="76"/>
    </w:p>
    <w:p w:rsidR="00804382" w:rsidRPr="002A33E4" w:rsidRDefault="00804382" w:rsidP="00142B2B">
      <w:pPr>
        <w:pStyle w:val="Akapitzlist"/>
        <w:numPr>
          <w:ilvl w:val="1"/>
          <w:numId w:val="15"/>
        </w:numPr>
        <w:rPr>
          <w:rFonts w:cs="Arial"/>
        </w:rPr>
      </w:pPr>
      <w:bookmarkStart w:id="77" w:name="_Toc63264309"/>
      <w:bookmarkStart w:id="78" w:name="_Toc73477013"/>
      <w:r w:rsidRPr="002A33E4">
        <w:rPr>
          <w:rFonts w:cs="Arial"/>
        </w:rPr>
        <w:t>Szczegółowe wymagania w tym zakresie określone zostały w Projektowanych Postanowieniach Umowy – Rozdziale III SWZ.</w:t>
      </w:r>
      <w:bookmarkEnd w:id="77"/>
      <w:bookmarkEnd w:id="78"/>
      <w:r w:rsidRPr="002A33E4">
        <w:rPr>
          <w:rFonts w:cs="Arial"/>
        </w:rPr>
        <w:t xml:space="preserve"> </w:t>
      </w:r>
    </w:p>
    <w:p w:rsidR="00804382" w:rsidRPr="002A33E4" w:rsidRDefault="00804382" w:rsidP="00142B2B">
      <w:pPr>
        <w:pStyle w:val="Akapitzlist"/>
        <w:numPr>
          <w:ilvl w:val="0"/>
          <w:numId w:val="15"/>
        </w:numPr>
        <w:ind w:left="284" w:hanging="284"/>
        <w:rPr>
          <w:rFonts w:cs="Arial"/>
          <w:u w:val="single"/>
        </w:rPr>
      </w:pPr>
      <w:bookmarkStart w:id="79" w:name="_Toc63264310"/>
      <w:bookmarkStart w:id="80" w:name="_Toc73477014"/>
      <w:r w:rsidRPr="002A33E4">
        <w:rPr>
          <w:rFonts w:cs="Arial"/>
          <w:u w:val="single"/>
        </w:rPr>
        <w:t>Pozostałe wymagania umowy</w:t>
      </w:r>
      <w:bookmarkEnd w:id="79"/>
      <w:bookmarkEnd w:id="80"/>
      <w:r w:rsidRPr="002A33E4">
        <w:rPr>
          <w:rFonts w:cs="Arial"/>
          <w:u w:val="single"/>
        </w:rPr>
        <w:t xml:space="preserve"> </w:t>
      </w:r>
    </w:p>
    <w:p w:rsidR="00804382" w:rsidRPr="002A33E4" w:rsidRDefault="00804382" w:rsidP="00142B2B">
      <w:pPr>
        <w:pStyle w:val="Akapitzlist"/>
        <w:numPr>
          <w:ilvl w:val="1"/>
          <w:numId w:val="15"/>
        </w:numPr>
      </w:pPr>
      <w:bookmarkStart w:id="81" w:name="_Toc63264311"/>
      <w:bookmarkStart w:id="82" w:name="_Toc73477015"/>
      <w:r w:rsidRPr="00B43DA3">
        <w:rPr>
          <w:u w:val="single"/>
        </w:rPr>
        <w:t xml:space="preserve">Rozliczenia z Wykonawcą </w:t>
      </w:r>
      <w:r w:rsidR="00E61577">
        <w:rPr>
          <w:u w:val="single"/>
        </w:rPr>
        <w:t>(wszystkie operacje</w:t>
      </w:r>
      <w:r w:rsidR="00FB7574">
        <w:rPr>
          <w:u w:val="single"/>
        </w:rPr>
        <w:t>,</w:t>
      </w:r>
      <w:r w:rsidR="00E61577">
        <w:rPr>
          <w:u w:val="single"/>
        </w:rPr>
        <w:t xml:space="preserve"> lokaty i </w:t>
      </w:r>
      <w:r w:rsidR="00FB7574">
        <w:rPr>
          <w:u w:val="single"/>
        </w:rPr>
        <w:t>opłaty</w:t>
      </w:r>
      <w:r w:rsidR="00E61577">
        <w:rPr>
          <w:u w:val="single"/>
        </w:rPr>
        <w:t xml:space="preserve">) </w:t>
      </w:r>
      <w:r w:rsidRPr="00B43DA3">
        <w:rPr>
          <w:u w:val="single"/>
        </w:rPr>
        <w:t>dokonywane będą w walucie polskiej</w:t>
      </w:r>
      <w:r w:rsidRPr="002A33E4">
        <w:t>.</w:t>
      </w:r>
      <w:bookmarkEnd w:id="81"/>
      <w:bookmarkEnd w:id="82"/>
    </w:p>
    <w:p w:rsidR="00804382" w:rsidRPr="002A33E4" w:rsidRDefault="00804382" w:rsidP="00142B2B">
      <w:pPr>
        <w:pStyle w:val="Akapitzlist"/>
        <w:numPr>
          <w:ilvl w:val="1"/>
          <w:numId w:val="15"/>
        </w:numPr>
        <w:rPr>
          <w:rFonts w:cs="Arial"/>
        </w:rPr>
      </w:pPr>
      <w:bookmarkStart w:id="83" w:name="_Toc63264312"/>
      <w:bookmarkStart w:id="84"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83"/>
      <w:bookmarkEnd w:id="84"/>
      <w:r w:rsidRPr="002A33E4">
        <w:rPr>
          <w:rFonts w:cs="Arial"/>
        </w:rPr>
        <w:t xml:space="preserve"> </w:t>
      </w:r>
    </w:p>
    <w:p w:rsidR="00804382" w:rsidRPr="002A33E4" w:rsidRDefault="00804382" w:rsidP="00142B2B">
      <w:pPr>
        <w:pStyle w:val="Akapitzlist"/>
        <w:numPr>
          <w:ilvl w:val="1"/>
          <w:numId w:val="15"/>
        </w:numPr>
        <w:rPr>
          <w:rFonts w:cs="Arial"/>
        </w:rPr>
      </w:pPr>
      <w:bookmarkStart w:id="85" w:name="_Toc63264313"/>
      <w:bookmarkStart w:id="86" w:name="_Toc73477017"/>
      <w:r w:rsidRPr="002A33E4">
        <w:rPr>
          <w:rFonts w:cs="Arial"/>
        </w:rPr>
        <w:t xml:space="preserve">Zamawiający </w:t>
      </w:r>
      <w:r w:rsidR="00073102" w:rsidRPr="00A0039A">
        <w:rPr>
          <w:rFonts w:cs="Arial"/>
          <w:u w:val="single"/>
        </w:rPr>
        <w:t xml:space="preserve">nie </w:t>
      </w:r>
      <w:r w:rsidRPr="00A0039A">
        <w:rPr>
          <w:rFonts w:cs="Arial"/>
          <w:u w:val="single"/>
        </w:rPr>
        <w:t>d</w:t>
      </w:r>
      <w:r w:rsidRPr="002A33E4">
        <w:rPr>
          <w:rFonts w:cs="Arial"/>
          <w:u w:val="single"/>
        </w:rPr>
        <w:t>opuszcza udział podwykonawców</w:t>
      </w:r>
      <w:r w:rsidRPr="002A33E4">
        <w:rPr>
          <w:rFonts w:cs="Arial"/>
        </w:rPr>
        <w:t xml:space="preserve"> w realizacji zamówienia. </w:t>
      </w:r>
      <w:bookmarkEnd w:id="85"/>
      <w:bookmarkEnd w:id="86"/>
    </w:p>
    <w:p w:rsidR="00804382" w:rsidRPr="002A33E4" w:rsidRDefault="00804382" w:rsidP="00142B2B">
      <w:pPr>
        <w:pStyle w:val="Akapitzlist"/>
        <w:numPr>
          <w:ilvl w:val="1"/>
          <w:numId w:val="15"/>
        </w:numPr>
        <w:rPr>
          <w:rFonts w:cs="Arial"/>
        </w:rPr>
      </w:pPr>
      <w:bookmarkStart w:id="87" w:name="_Toc63264315"/>
      <w:bookmarkStart w:id="88"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87"/>
      <w:bookmarkEnd w:id="88"/>
    </w:p>
    <w:p w:rsidR="00804382" w:rsidRPr="002A33E4" w:rsidRDefault="00804382" w:rsidP="005A54BA">
      <w:pPr>
        <w:pStyle w:val="Nagwek2"/>
      </w:pPr>
      <w:bookmarkStart w:id="89" w:name="_Toc63264317"/>
      <w:bookmarkStart w:id="90" w:name="_Toc73477026"/>
      <w:bookmarkStart w:id="91" w:name="_Toc73477228"/>
      <w:bookmarkStart w:id="92" w:name="_Toc73477515"/>
      <w:bookmarkStart w:id="93" w:name="_Toc73477547"/>
      <w:bookmarkStart w:id="94" w:name="_Toc108419047"/>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89"/>
      <w:bookmarkEnd w:id="90"/>
      <w:bookmarkEnd w:id="91"/>
      <w:bookmarkEnd w:id="92"/>
      <w:bookmarkEnd w:id="93"/>
      <w:bookmarkEnd w:id="94"/>
    </w:p>
    <w:p w:rsidR="00804382" w:rsidRPr="002A33E4" w:rsidRDefault="00804382" w:rsidP="00142B2B">
      <w:pPr>
        <w:pStyle w:val="Akapitzlist"/>
        <w:numPr>
          <w:ilvl w:val="0"/>
          <w:numId w:val="16"/>
        </w:numPr>
        <w:ind w:left="426"/>
      </w:pPr>
      <w:bookmarkStart w:id="95" w:name="_Toc63264318"/>
      <w:bookmarkStart w:id="96"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95"/>
      <w:bookmarkEnd w:id="96"/>
    </w:p>
    <w:p w:rsidR="00804382" w:rsidRPr="002A33E4" w:rsidRDefault="00804382" w:rsidP="00142B2B">
      <w:pPr>
        <w:pStyle w:val="Akapitzlist"/>
        <w:numPr>
          <w:ilvl w:val="0"/>
          <w:numId w:val="16"/>
        </w:numPr>
        <w:ind w:left="426"/>
      </w:pPr>
      <w:bookmarkStart w:id="97"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97"/>
    </w:p>
    <w:p w:rsidR="00804382" w:rsidRPr="002A33E4" w:rsidRDefault="00804382" w:rsidP="00142B2B">
      <w:pPr>
        <w:pStyle w:val="Akapitzlist"/>
        <w:numPr>
          <w:ilvl w:val="0"/>
          <w:numId w:val="16"/>
        </w:numPr>
        <w:ind w:left="426"/>
      </w:pPr>
      <w:bookmarkStart w:id="98"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w:t>
      </w:r>
      <w:r w:rsidRPr="002A33E4">
        <w:lastRenderedPageBreak/>
        <w:t xml:space="preserve">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98"/>
    </w:p>
    <w:p w:rsidR="00804382" w:rsidRPr="002A33E4" w:rsidRDefault="00804382" w:rsidP="00142B2B">
      <w:pPr>
        <w:pStyle w:val="Akapitzlist"/>
        <w:numPr>
          <w:ilvl w:val="0"/>
          <w:numId w:val="16"/>
        </w:numPr>
        <w:ind w:left="426"/>
      </w:pPr>
      <w:bookmarkStart w:id="99"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99"/>
    </w:p>
    <w:p w:rsidR="00804382" w:rsidRPr="002A33E4" w:rsidRDefault="00804382" w:rsidP="00142B2B">
      <w:pPr>
        <w:pStyle w:val="Akapitzlist"/>
        <w:numPr>
          <w:ilvl w:val="0"/>
          <w:numId w:val="16"/>
        </w:numPr>
        <w:ind w:left="426"/>
      </w:pPr>
      <w:bookmarkStart w:id="100" w:name="_Toc63264319"/>
      <w:bookmarkStart w:id="101" w:name="_Toc73477031"/>
      <w:r w:rsidRPr="002A33E4">
        <w:t>Maksymalny rozmiar plików przesyłanych za pośrednictwem dedykowanych formularzy do: złożenia i wycofania oferty oraz do komunikacji wynosi 150 MB.</w:t>
      </w:r>
      <w:bookmarkEnd w:id="100"/>
      <w:bookmarkEnd w:id="101"/>
    </w:p>
    <w:p w:rsidR="00804382" w:rsidRPr="002A33E4" w:rsidRDefault="00804382" w:rsidP="00142B2B">
      <w:pPr>
        <w:pStyle w:val="Akapitzlist"/>
        <w:numPr>
          <w:ilvl w:val="0"/>
          <w:numId w:val="16"/>
        </w:numPr>
        <w:ind w:left="426"/>
      </w:pPr>
      <w:bookmarkStart w:id="102" w:name="_Toc63264320"/>
      <w:bookmarkStart w:id="103"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02"/>
      <w:bookmarkEnd w:id="103"/>
    </w:p>
    <w:p w:rsidR="00804382" w:rsidRPr="002A33E4" w:rsidRDefault="00804382" w:rsidP="00142B2B">
      <w:pPr>
        <w:pStyle w:val="Akapitzlist"/>
        <w:numPr>
          <w:ilvl w:val="0"/>
          <w:numId w:val="16"/>
        </w:numPr>
        <w:ind w:left="426"/>
      </w:pPr>
      <w:bookmarkStart w:id="104"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04"/>
    </w:p>
    <w:p w:rsidR="00804382" w:rsidRPr="002A33E4" w:rsidRDefault="00804382" w:rsidP="00142B2B">
      <w:pPr>
        <w:pStyle w:val="Akapitzlist"/>
        <w:numPr>
          <w:ilvl w:val="0"/>
          <w:numId w:val="16"/>
        </w:numPr>
        <w:ind w:left="426"/>
      </w:pPr>
      <w:bookmarkStart w:id="105"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05"/>
      <w:r w:rsidRPr="002A33E4">
        <w:t xml:space="preserve"> </w:t>
      </w:r>
    </w:p>
    <w:p w:rsidR="00804382" w:rsidRPr="002A33E4" w:rsidRDefault="00804382" w:rsidP="00142B2B">
      <w:pPr>
        <w:pStyle w:val="Akapitzlist"/>
        <w:numPr>
          <w:ilvl w:val="0"/>
          <w:numId w:val="16"/>
        </w:numPr>
        <w:ind w:left="426"/>
      </w:pPr>
      <w:bookmarkStart w:id="106"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06"/>
    </w:p>
    <w:p w:rsidR="00804382" w:rsidRPr="002A33E4" w:rsidRDefault="00804382" w:rsidP="00142B2B">
      <w:pPr>
        <w:pStyle w:val="Akapitzlist"/>
        <w:numPr>
          <w:ilvl w:val="0"/>
          <w:numId w:val="16"/>
        </w:numPr>
        <w:ind w:left="426"/>
      </w:pPr>
      <w:bookmarkStart w:id="107" w:name="_Toc73477036"/>
      <w:r w:rsidRPr="002A33E4">
        <w:t>Zamawiający nie przewiduje sposobu komunikowania się z Wykonawcami w inny sposób niż przy użyciu środków komunikacji elektronicznej, wskazanych w SWZ.</w:t>
      </w:r>
      <w:bookmarkEnd w:id="107"/>
    </w:p>
    <w:p w:rsidR="00804382" w:rsidRPr="002A33E4" w:rsidRDefault="00804382" w:rsidP="005A54BA">
      <w:pPr>
        <w:pStyle w:val="Nagwek2"/>
      </w:pPr>
      <w:bookmarkStart w:id="108" w:name="_Toc63264321"/>
      <w:bookmarkStart w:id="109" w:name="_Toc73477037"/>
      <w:bookmarkStart w:id="110" w:name="_Toc73477229"/>
      <w:bookmarkStart w:id="111" w:name="_Toc73477516"/>
      <w:bookmarkStart w:id="112" w:name="_Toc73477548"/>
      <w:bookmarkStart w:id="113" w:name="_Toc108419048"/>
      <w:r w:rsidRPr="002A33E4">
        <w:t>Wskazanie osób uprawnionych do komunikowania się z</w:t>
      </w:r>
      <w:r w:rsidRPr="002A33E4">
        <w:rPr>
          <w:spacing w:val="-10"/>
        </w:rPr>
        <w:t xml:space="preserve"> </w:t>
      </w:r>
      <w:r w:rsidRPr="002A33E4">
        <w:t>Wykonawcami</w:t>
      </w:r>
      <w:bookmarkEnd w:id="108"/>
      <w:bookmarkEnd w:id="109"/>
      <w:bookmarkEnd w:id="110"/>
      <w:bookmarkEnd w:id="111"/>
      <w:bookmarkEnd w:id="112"/>
      <w:bookmarkEnd w:id="113"/>
    </w:p>
    <w:p w:rsidR="00804382" w:rsidRPr="002A33E4" w:rsidRDefault="00804382" w:rsidP="00193BD2">
      <w:bookmarkStart w:id="114" w:name="_Toc63264322"/>
      <w:bookmarkStart w:id="115" w:name="_Toc73477038"/>
      <w:r w:rsidRPr="002A33E4">
        <w:t>Zamawiający wyznacza następujące osoby do kontaktu z Wykonawcami:</w:t>
      </w:r>
      <w:bookmarkEnd w:id="114"/>
      <w:bookmarkEnd w:id="115"/>
    </w:p>
    <w:p w:rsidR="00804382" w:rsidRDefault="0014283D" w:rsidP="00193BD2">
      <w:pPr>
        <w:rPr>
          <w:rFonts w:cs="Arial"/>
        </w:rPr>
      </w:pPr>
      <w:bookmarkStart w:id="116" w:name="_Toc63264323"/>
      <w:bookmarkStart w:id="117" w:name="_Toc73477039"/>
      <w:r>
        <w:rPr>
          <w:rFonts w:cs="Arial"/>
        </w:rPr>
        <w:t>W</w:t>
      </w:r>
      <w:r w:rsidRPr="00C11759">
        <w:rPr>
          <w:rFonts w:cs="Arial"/>
        </w:rPr>
        <w:t xml:space="preserve"> sprawach formalnych</w:t>
      </w:r>
      <w:r>
        <w:rPr>
          <w:rFonts w:cs="Arial"/>
        </w:rPr>
        <w:t xml:space="preserve"> </w:t>
      </w:r>
      <w:r w:rsidRPr="00C11759">
        <w:rPr>
          <w:rFonts w:cs="Arial"/>
        </w:rPr>
        <w:t>związanych z procedurą przetargową</w:t>
      </w:r>
      <w:r w:rsidRPr="002A33E4">
        <w:rPr>
          <w:rFonts w:cs="Arial"/>
        </w:rPr>
        <w:t xml:space="preserve"> </w:t>
      </w:r>
      <w:r w:rsidR="003071F2">
        <w:rPr>
          <w:rFonts w:cs="Arial"/>
        </w:rPr>
        <w:t>Pani Beata Borucka, Pani </w:t>
      </w:r>
      <w:r w:rsidR="00804382" w:rsidRPr="002A33E4">
        <w:rPr>
          <w:rFonts w:cs="Arial"/>
        </w:rPr>
        <w:t>Aleksandra Obiedzińska, tel. 667-333-</w:t>
      </w:r>
      <w:r w:rsidR="00752669">
        <w:rPr>
          <w:rFonts w:cs="Arial"/>
        </w:rPr>
        <w:t>357 od poniedziałku do piątku w </w:t>
      </w:r>
      <w:r w:rsidR="00804382" w:rsidRPr="002A33E4">
        <w:rPr>
          <w:rFonts w:cs="Arial"/>
        </w:rPr>
        <w:t>godz. 8:00 – 15:00.</w:t>
      </w:r>
      <w:bookmarkEnd w:id="116"/>
      <w:bookmarkEnd w:id="117"/>
    </w:p>
    <w:p w:rsidR="00591C71" w:rsidRDefault="00E57771" w:rsidP="00E57771">
      <w:pPr>
        <w:rPr>
          <w:rFonts w:cs="Arial"/>
        </w:rPr>
      </w:pPr>
      <w:r>
        <w:rPr>
          <w:rFonts w:cs="Arial"/>
        </w:rPr>
        <w:t>W</w:t>
      </w:r>
      <w:r w:rsidRPr="00C11759">
        <w:rPr>
          <w:rFonts w:cs="Arial"/>
        </w:rPr>
        <w:t xml:space="preserve"> sprawach związanych z przedmiotem zamówienia</w:t>
      </w:r>
      <w:r w:rsidR="0014283D">
        <w:rPr>
          <w:rFonts w:cs="Arial"/>
        </w:rPr>
        <w:t xml:space="preserve"> </w:t>
      </w:r>
      <w:r w:rsidR="00591C71">
        <w:rPr>
          <w:rFonts w:cs="Arial"/>
        </w:rPr>
        <w:t>Pan</w:t>
      </w:r>
      <w:r w:rsidR="0014283D">
        <w:rPr>
          <w:rFonts w:cs="Arial"/>
        </w:rPr>
        <w:t>i</w:t>
      </w:r>
      <w:r w:rsidR="00591C71">
        <w:rPr>
          <w:rFonts w:cs="Arial"/>
        </w:rPr>
        <w:t xml:space="preserve"> </w:t>
      </w:r>
      <w:r w:rsidR="0014283D" w:rsidRPr="0014283D">
        <w:rPr>
          <w:rFonts w:cs="Arial"/>
          <w:highlight w:val="yellow"/>
        </w:rPr>
        <w:t>Teresa Karpińska</w:t>
      </w:r>
      <w:r w:rsidR="00591C71" w:rsidRPr="0014283D">
        <w:rPr>
          <w:rFonts w:cs="Arial"/>
          <w:highlight w:val="yellow"/>
        </w:rPr>
        <w:t xml:space="preserve"> tel. </w:t>
      </w:r>
      <w:r w:rsidR="0014283D" w:rsidRPr="0014283D">
        <w:rPr>
          <w:rFonts w:cs="Arial"/>
          <w:highlight w:val="yellow"/>
        </w:rPr>
        <w:t>…………………...</w:t>
      </w:r>
      <w:r w:rsidR="00591C71" w:rsidRPr="0014283D">
        <w:rPr>
          <w:rFonts w:cs="Arial"/>
          <w:highlight w:val="yellow"/>
        </w:rPr>
        <w:t>,</w:t>
      </w:r>
    </w:p>
    <w:p w:rsidR="00804382" w:rsidRPr="002A33E4" w:rsidRDefault="00804382" w:rsidP="005A54BA">
      <w:pPr>
        <w:pStyle w:val="Nagwek2"/>
      </w:pPr>
      <w:bookmarkStart w:id="118" w:name="_TOC_250008"/>
      <w:bookmarkStart w:id="119" w:name="_Toc63264324"/>
      <w:bookmarkStart w:id="120" w:name="_Toc73477040"/>
      <w:bookmarkStart w:id="121" w:name="_Toc73477230"/>
      <w:bookmarkStart w:id="122" w:name="_Toc73477517"/>
      <w:bookmarkStart w:id="123" w:name="_Toc73477549"/>
      <w:bookmarkStart w:id="124" w:name="_Toc108419049"/>
      <w:r w:rsidRPr="002A33E4">
        <w:t>Termin związania</w:t>
      </w:r>
      <w:r w:rsidRPr="002A33E4">
        <w:rPr>
          <w:spacing w:val="-2"/>
        </w:rPr>
        <w:t xml:space="preserve"> </w:t>
      </w:r>
      <w:bookmarkEnd w:id="118"/>
      <w:r w:rsidRPr="002A33E4">
        <w:t>ofertą</w:t>
      </w:r>
      <w:bookmarkEnd w:id="119"/>
      <w:bookmarkEnd w:id="120"/>
      <w:bookmarkEnd w:id="121"/>
      <w:bookmarkEnd w:id="122"/>
      <w:bookmarkEnd w:id="123"/>
      <w:bookmarkEnd w:id="124"/>
    </w:p>
    <w:p w:rsidR="00804382" w:rsidRPr="002A33E4" w:rsidRDefault="00804382" w:rsidP="00142B2B">
      <w:pPr>
        <w:pStyle w:val="Akapitzlist"/>
        <w:numPr>
          <w:ilvl w:val="0"/>
          <w:numId w:val="17"/>
        </w:numPr>
        <w:ind w:left="426"/>
      </w:pPr>
      <w:bookmarkStart w:id="125" w:name="_Toc63264325"/>
      <w:bookmarkStart w:id="126" w:name="_Toc73477041"/>
      <w:r w:rsidRPr="002A33E4">
        <w:t xml:space="preserve">Wykonawca jest związany ofertą od dnia upływu terminu składania ofert </w:t>
      </w:r>
      <w:r w:rsidRPr="00193BD2">
        <w:rPr>
          <w:b/>
          <w:highlight w:val="yellow"/>
          <w:u w:val="single"/>
        </w:rPr>
        <w:t>do dnia</w:t>
      </w:r>
      <w:bookmarkEnd w:id="125"/>
      <w:bookmarkEnd w:id="126"/>
      <w:r w:rsidR="00D61E03">
        <w:rPr>
          <w:b/>
          <w:u w:val="single"/>
        </w:rPr>
        <w:t xml:space="preserve"> </w:t>
      </w:r>
      <w:r w:rsidR="00726DF8">
        <w:rPr>
          <w:b/>
          <w:color w:val="0070C0"/>
          <w:highlight w:val="yellow"/>
          <w:u w:val="single"/>
        </w:rPr>
        <w:t>1</w:t>
      </w:r>
      <w:r w:rsidR="00172C4B">
        <w:rPr>
          <w:b/>
          <w:color w:val="0070C0"/>
          <w:highlight w:val="yellow"/>
          <w:u w:val="single"/>
        </w:rPr>
        <w:t>4</w:t>
      </w:r>
      <w:r w:rsidR="00726DF8">
        <w:rPr>
          <w:b/>
          <w:color w:val="0070C0"/>
          <w:highlight w:val="yellow"/>
          <w:u w:val="single"/>
        </w:rPr>
        <w:t>-11</w:t>
      </w:r>
      <w:r w:rsidR="008D1066" w:rsidRPr="008D1066">
        <w:rPr>
          <w:b/>
          <w:color w:val="0070C0"/>
          <w:highlight w:val="yellow"/>
          <w:u w:val="single"/>
        </w:rPr>
        <w:t>-2022r</w:t>
      </w:r>
      <w:r w:rsidR="008D1066" w:rsidRPr="008D1066">
        <w:rPr>
          <w:b/>
          <w:i/>
          <w:u w:val="single"/>
        </w:rPr>
        <w:t xml:space="preserve"> </w:t>
      </w:r>
      <w:r w:rsidR="00D61E03" w:rsidRPr="00632BB8">
        <w:rPr>
          <w:i/>
          <w:highlight w:val="yellow"/>
        </w:rPr>
        <w:t>(nie dłużej niż 90 dni).</w:t>
      </w:r>
    </w:p>
    <w:p w:rsidR="00804382" w:rsidRPr="002A33E4" w:rsidRDefault="00804382" w:rsidP="00142B2B">
      <w:pPr>
        <w:pStyle w:val="Akapitzlist"/>
        <w:numPr>
          <w:ilvl w:val="0"/>
          <w:numId w:val="17"/>
        </w:numPr>
        <w:ind w:left="426"/>
      </w:pPr>
      <w:bookmarkStart w:id="127" w:name="_Toc63264326"/>
      <w:bookmarkStart w:id="128"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27"/>
      <w:bookmarkEnd w:id="128"/>
    </w:p>
    <w:p w:rsidR="00804382" w:rsidRPr="002A33E4" w:rsidRDefault="00804382" w:rsidP="00142B2B">
      <w:pPr>
        <w:pStyle w:val="Akapitzlist"/>
        <w:numPr>
          <w:ilvl w:val="0"/>
          <w:numId w:val="17"/>
        </w:numPr>
        <w:ind w:left="426"/>
      </w:pPr>
      <w:bookmarkStart w:id="129" w:name="_Toc63264327"/>
      <w:bookmarkStart w:id="130"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29"/>
      <w:bookmarkEnd w:id="130"/>
    </w:p>
    <w:p w:rsidR="00804382" w:rsidRPr="002A33E4" w:rsidRDefault="00804382" w:rsidP="005A54BA">
      <w:pPr>
        <w:pStyle w:val="Nagwek2"/>
      </w:pPr>
      <w:bookmarkStart w:id="131" w:name="_TOC_250007"/>
      <w:bookmarkStart w:id="132" w:name="_Toc63264328"/>
      <w:bookmarkStart w:id="133" w:name="_Toc73477044"/>
      <w:bookmarkStart w:id="134" w:name="_Toc73477231"/>
      <w:bookmarkStart w:id="135" w:name="_Toc73477518"/>
      <w:bookmarkStart w:id="136" w:name="_Toc73477550"/>
      <w:bookmarkStart w:id="137" w:name="_Toc108419050"/>
      <w:r w:rsidRPr="002A33E4">
        <w:lastRenderedPageBreak/>
        <w:t>Opis sposobu przygotowania</w:t>
      </w:r>
      <w:r w:rsidRPr="002A33E4">
        <w:rPr>
          <w:spacing w:val="-2"/>
        </w:rPr>
        <w:t xml:space="preserve"> </w:t>
      </w:r>
      <w:bookmarkEnd w:id="131"/>
      <w:r w:rsidRPr="002A33E4">
        <w:t>oferty</w:t>
      </w:r>
      <w:bookmarkEnd w:id="132"/>
      <w:bookmarkEnd w:id="133"/>
      <w:bookmarkEnd w:id="134"/>
      <w:bookmarkEnd w:id="135"/>
      <w:bookmarkEnd w:id="136"/>
      <w:bookmarkEnd w:id="137"/>
    </w:p>
    <w:p w:rsidR="00804382" w:rsidRPr="002A33E4" w:rsidRDefault="00804382" w:rsidP="00142B2B">
      <w:pPr>
        <w:pStyle w:val="Akapitzlist"/>
        <w:numPr>
          <w:ilvl w:val="0"/>
          <w:numId w:val="18"/>
        </w:numPr>
        <w:ind w:left="426"/>
      </w:pPr>
      <w:bookmarkStart w:id="138" w:name="_Toc73477045"/>
      <w:bookmarkStart w:id="139"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38"/>
      <w:r w:rsidRPr="002A33E4">
        <w:t xml:space="preserve"> </w:t>
      </w:r>
      <w:bookmarkEnd w:id="139"/>
    </w:p>
    <w:p w:rsidR="00804382" w:rsidRPr="002A33E4" w:rsidRDefault="00804382" w:rsidP="00142B2B">
      <w:pPr>
        <w:pStyle w:val="Akapitzlist"/>
        <w:numPr>
          <w:ilvl w:val="0"/>
          <w:numId w:val="18"/>
        </w:numPr>
        <w:ind w:left="426"/>
      </w:pPr>
      <w:bookmarkStart w:id="140" w:name="_Toc63264330"/>
      <w:bookmarkStart w:id="141"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40"/>
      <w:bookmarkEnd w:id="141"/>
      <w:r w:rsidRPr="002A33E4">
        <w:t xml:space="preserve"> </w:t>
      </w:r>
    </w:p>
    <w:p w:rsidR="00804382" w:rsidRPr="002A33E4" w:rsidRDefault="00804382" w:rsidP="00142B2B">
      <w:pPr>
        <w:pStyle w:val="Akapitzlist"/>
        <w:numPr>
          <w:ilvl w:val="0"/>
          <w:numId w:val="18"/>
        </w:numPr>
        <w:ind w:left="426"/>
      </w:pPr>
      <w:bookmarkStart w:id="142" w:name="_Toc63264331"/>
      <w:bookmarkStart w:id="143"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42"/>
      <w:bookmarkEnd w:id="143"/>
      <w:r w:rsidRPr="002A33E4">
        <w:t xml:space="preserve"> </w:t>
      </w:r>
    </w:p>
    <w:p w:rsidR="00804382" w:rsidRPr="002A33E4" w:rsidRDefault="00804382" w:rsidP="00142B2B">
      <w:pPr>
        <w:pStyle w:val="Akapitzlist"/>
        <w:numPr>
          <w:ilvl w:val="0"/>
          <w:numId w:val="18"/>
        </w:numPr>
        <w:ind w:left="426"/>
      </w:pPr>
      <w:bookmarkStart w:id="144" w:name="_Toc73477048"/>
      <w:bookmarkStart w:id="145" w:name="_Toc63264332"/>
      <w:r w:rsidRPr="002A33E4">
        <w:t xml:space="preserve">Do przygotowania oferty konieczne jest posiadanie przez osobę upoważnioną </w:t>
      </w:r>
      <w:r w:rsidR="00BA1FE5">
        <w:br/>
      </w:r>
      <w:r w:rsidRPr="002A33E4">
        <w:t>do reprezentowania Wykonawcy kwalifikowanego podpisu elektronicznego,</w:t>
      </w:r>
      <w:bookmarkEnd w:id="144"/>
      <w:r w:rsidRPr="002A33E4">
        <w:t xml:space="preserve"> </w:t>
      </w:r>
      <w:bookmarkEnd w:id="145"/>
    </w:p>
    <w:p w:rsidR="00804382" w:rsidRPr="007F4FF4" w:rsidRDefault="00804382" w:rsidP="00142B2B">
      <w:pPr>
        <w:pStyle w:val="Akapitzlist"/>
        <w:numPr>
          <w:ilvl w:val="0"/>
          <w:numId w:val="18"/>
        </w:numPr>
        <w:ind w:left="426"/>
      </w:pPr>
      <w:bookmarkStart w:id="146" w:name="_Toc63264333"/>
      <w:bookmarkStart w:id="147"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46"/>
      <w:bookmarkEnd w:id="147"/>
      <w:r w:rsidRPr="007F4FF4">
        <w:t xml:space="preserve"> </w:t>
      </w:r>
    </w:p>
    <w:p w:rsidR="00BE0275" w:rsidRPr="007F4FF4" w:rsidRDefault="005F0CED" w:rsidP="00142B2B">
      <w:pPr>
        <w:pStyle w:val="Akapitzlist"/>
        <w:numPr>
          <w:ilvl w:val="1"/>
          <w:numId w:val="18"/>
        </w:numPr>
        <w:ind w:left="851" w:hanging="491"/>
      </w:pPr>
      <w:bookmarkStart w:id="148"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48"/>
      <w:r w:rsidRPr="007F4FF4">
        <w:t xml:space="preserve"> </w:t>
      </w:r>
    </w:p>
    <w:p w:rsidR="005F0CED" w:rsidRPr="007F4FF4" w:rsidRDefault="005F0CED" w:rsidP="00142B2B">
      <w:pPr>
        <w:pStyle w:val="Akapitzlist"/>
        <w:numPr>
          <w:ilvl w:val="1"/>
          <w:numId w:val="18"/>
        </w:numPr>
        <w:ind w:left="851" w:hanging="491"/>
      </w:pPr>
      <w:bookmarkStart w:id="149"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49"/>
      <w:proofErr w:type="spellEnd"/>
      <w:r w:rsidR="007F4FF4">
        <w:t>.</w:t>
      </w:r>
    </w:p>
    <w:p w:rsidR="00804382" w:rsidRPr="002A33E4" w:rsidRDefault="00804382" w:rsidP="00142B2B">
      <w:pPr>
        <w:pStyle w:val="Akapitzlist"/>
        <w:numPr>
          <w:ilvl w:val="0"/>
          <w:numId w:val="18"/>
        </w:numPr>
        <w:ind w:left="426"/>
        <w:rPr>
          <w:rFonts w:cs="Arial"/>
        </w:rPr>
      </w:pPr>
      <w:bookmarkStart w:id="150" w:name="_Toc63264334"/>
      <w:bookmarkStart w:id="151"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50"/>
      <w:bookmarkEnd w:id="151"/>
    </w:p>
    <w:p w:rsidR="00804382" w:rsidRPr="002A33E4" w:rsidRDefault="00804382" w:rsidP="00142B2B">
      <w:pPr>
        <w:pStyle w:val="Akapitzlist"/>
        <w:numPr>
          <w:ilvl w:val="0"/>
          <w:numId w:val="18"/>
        </w:numPr>
        <w:ind w:left="426"/>
        <w:rPr>
          <w:rFonts w:cs="Arial"/>
        </w:rPr>
      </w:pPr>
      <w:bookmarkStart w:id="152" w:name="_Toc63264336"/>
      <w:bookmarkStart w:id="153"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52"/>
      <w:bookmarkEnd w:id="153"/>
    </w:p>
    <w:p w:rsidR="00804382" w:rsidRPr="002A33E4" w:rsidRDefault="00804382" w:rsidP="00142B2B">
      <w:pPr>
        <w:pStyle w:val="Akapitzlist"/>
        <w:numPr>
          <w:ilvl w:val="0"/>
          <w:numId w:val="18"/>
        </w:numPr>
        <w:ind w:left="426"/>
        <w:rPr>
          <w:rFonts w:cs="Arial"/>
        </w:rPr>
      </w:pPr>
      <w:bookmarkStart w:id="154" w:name="_Toc63264337"/>
      <w:bookmarkStart w:id="155" w:name="_Toc73477055"/>
      <w:r w:rsidRPr="002A33E4">
        <w:rPr>
          <w:rFonts w:cs="Arial"/>
        </w:rPr>
        <w:t>Do oferty należy dołączyć</w:t>
      </w:r>
      <w:bookmarkEnd w:id="154"/>
      <w:r w:rsidR="0024475A" w:rsidRPr="002A33E4">
        <w:rPr>
          <w:rFonts w:cs="Arial"/>
        </w:rPr>
        <w:t>:</w:t>
      </w:r>
      <w:bookmarkEnd w:id="155"/>
    </w:p>
    <w:p w:rsidR="004A128C" w:rsidRPr="002A33E4" w:rsidRDefault="004A128C" w:rsidP="00142B2B">
      <w:pPr>
        <w:pStyle w:val="Akapitzlist"/>
        <w:numPr>
          <w:ilvl w:val="1"/>
          <w:numId w:val="18"/>
        </w:numPr>
      </w:pPr>
      <w:bookmarkStart w:id="156" w:name="_Toc63264338"/>
      <w:bookmarkStart w:id="157" w:name="_Toc73477056"/>
      <w:r w:rsidRPr="002A33E4">
        <w:t>Pełnomocnictwo upoważniające do złożenia oferty, o ile ofertę składa pełnomocnik.</w:t>
      </w:r>
      <w:bookmarkEnd w:id="156"/>
      <w:bookmarkEnd w:id="157"/>
    </w:p>
    <w:p w:rsidR="00804382" w:rsidRDefault="00804382" w:rsidP="00142B2B">
      <w:pPr>
        <w:pStyle w:val="Akapitzlist"/>
        <w:numPr>
          <w:ilvl w:val="1"/>
          <w:numId w:val="18"/>
        </w:numPr>
        <w:rPr>
          <w:rFonts w:cs="Arial"/>
        </w:rPr>
      </w:pPr>
      <w:bookmarkStart w:id="158" w:name="_Toc63264339"/>
      <w:bookmarkStart w:id="159"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58"/>
      <w:bookmarkEnd w:id="159"/>
    </w:p>
    <w:p w:rsidR="00804382" w:rsidRPr="002A33E4" w:rsidRDefault="00804382" w:rsidP="00142B2B">
      <w:pPr>
        <w:pStyle w:val="Akapitzlist"/>
        <w:numPr>
          <w:ilvl w:val="1"/>
          <w:numId w:val="18"/>
        </w:numPr>
        <w:rPr>
          <w:rFonts w:cs="Arial"/>
        </w:rPr>
      </w:pPr>
      <w:bookmarkStart w:id="160" w:name="_Toc63264340"/>
      <w:bookmarkStart w:id="161"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60"/>
      <w:bookmarkEnd w:id="161"/>
    </w:p>
    <w:p w:rsidR="00C840F5" w:rsidRPr="002A33E4" w:rsidRDefault="00C840F5" w:rsidP="00752669">
      <w:pPr>
        <w:ind w:left="993"/>
        <w:rPr>
          <w:rFonts w:eastAsia="Cambria" w:cs="Arial"/>
          <w:color w:val="00000A"/>
          <w:kern w:val="3"/>
          <w:lang w:eastAsia="zh-CN" w:bidi="hi-IN"/>
        </w:rPr>
      </w:pPr>
      <w:bookmarkStart w:id="162"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62"/>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63"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63"/>
      <w:r w:rsidR="005E26AA" w:rsidRPr="002A33E4">
        <w:rPr>
          <w:rFonts w:eastAsia="Cambria" w:cs="Arial"/>
          <w:color w:val="00000A"/>
          <w:kern w:val="3"/>
          <w:lang w:eastAsia="zh-CN" w:bidi="hi-IN"/>
        </w:rPr>
        <w:t xml:space="preserve"> </w:t>
      </w:r>
    </w:p>
    <w:p w:rsidR="00804382" w:rsidRPr="002A33E4" w:rsidRDefault="00A037F9" w:rsidP="00142B2B">
      <w:pPr>
        <w:pStyle w:val="Akapitzlist"/>
        <w:numPr>
          <w:ilvl w:val="1"/>
          <w:numId w:val="18"/>
        </w:numPr>
        <w:rPr>
          <w:rFonts w:cs="Arial"/>
        </w:rPr>
      </w:pPr>
      <w:bookmarkStart w:id="164" w:name="_Toc63264341"/>
      <w:bookmarkStart w:id="165" w:name="_Toc73477061"/>
      <w:r w:rsidRPr="00FF05C9">
        <w:rPr>
          <w:rFonts w:cs="Arial"/>
          <w:u w:val="single"/>
        </w:rPr>
        <w:t>P</w:t>
      </w:r>
      <w:r w:rsidR="00804382" w:rsidRPr="002A33E4">
        <w:rPr>
          <w:rFonts w:cs="Arial"/>
          <w:u w:val="single"/>
        </w:rPr>
        <w:t>rzedmiotowe środki dowodowe</w:t>
      </w:r>
      <w:r w:rsidR="00804382" w:rsidRPr="002A33E4">
        <w:rPr>
          <w:rFonts w:cs="Arial"/>
        </w:rPr>
        <w:t>:</w:t>
      </w:r>
      <w:bookmarkEnd w:id="164"/>
      <w:bookmarkEnd w:id="165"/>
    </w:p>
    <w:p w:rsidR="00804382" w:rsidRPr="002A33E4" w:rsidRDefault="00025FC1" w:rsidP="00115C5D">
      <w:pPr>
        <w:ind w:left="1134"/>
      </w:pPr>
      <w:bookmarkStart w:id="166" w:name="_Toc63264342"/>
      <w:bookmarkStart w:id="167" w:name="_Toc73477062"/>
      <w:r w:rsidRPr="002A33E4">
        <w:t>Zamawiający nie wymaga dokumentów w tym zakresie</w:t>
      </w:r>
      <w:r w:rsidR="00804382" w:rsidRPr="002A33E4">
        <w:t>.</w:t>
      </w:r>
      <w:bookmarkEnd w:id="166"/>
      <w:bookmarkEnd w:id="167"/>
    </w:p>
    <w:p w:rsidR="00804382" w:rsidRPr="002A33E4" w:rsidRDefault="00804382" w:rsidP="00142B2B">
      <w:pPr>
        <w:pStyle w:val="Akapitzlist"/>
        <w:numPr>
          <w:ilvl w:val="0"/>
          <w:numId w:val="18"/>
        </w:numPr>
        <w:ind w:left="426"/>
        <w:rPr>
          <w:rFonts w:cs="Arial"/>
        </w:rPr>
      </w:pPr>
      <w:bookmarkStart w:id="168" w:name="_Toc63264343"/>
      <w:bookmarkStart w:id="169"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68"/>
      <w:bookmarkEnd w:id="169"/>
    </w:p>
    <w:p w:rsidR="00804382" w:rsidRPr="002A33E4" w:rsidRDefault="00804382" w:rsidP="00142B2B">
      <w:pPr>
        <w:pStyle w:val="Akapitzlist"/>
        <w:numPr>
          <w:ilvl w:val="0"/>
          <w:numId w:val="18"/>
        </w:numPr>
        <w:ind w:left="426"/>
        <w:rPr>
          <w:rFonts w:cs="Arial"/>
        </w:rPr>
      </w:pPr>
      <w:bookmarkStart w:id="170" w:name="_Toc63264344"/>
      <w:bookmarkStart w:id="171" w:name="_Toc73477064"/>
      <w:r w:rsidRPr="002A33E4">
        <w:rPr>
          <w:rFonts w:cs="Arial"/>
        </w:rPr>
        <w:t>Zamawiający zaleca ponumerowanie stron oferty.</w:t>
      </w:r>
      <w:bookmarkEnd w:id="170"/>
      <w:bookmarkEnd w:id="171"/>
    </w:p>
    <w:p w:rsidR="00804382" w:rsidRPr="002A33E4" w:rsidRDefault="00804382" w:rsidP="00142B2B">
      <w:pPr>
        <w:pStyle w:val="Akapitzlist"/>
        <w:numPr>
          <w:ilvl w:val="0"/>
          <w:numId w:val="18"/>
        </w:numPr>
        <w:ind w:left="426"/>
        <w:rPr>
          <w:rFonts w:cs="Arial"/>
        </w:rPr>
      </w:pPr>
      <w:bookmarkStart w:id="172" w:name="_Toc63264345"/>
      <w:bookmarkStart w:id="173"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72"/>
      <w:bookmarkEnd w:id="173"/>
    </w:p>
    <w:p w:rsidR="00804382" w:rsidRPr="002A33E4" w:rsidRDefault="00804382" w:rsidP="005A54BA">
      <w:pPr>
        <w:pStyle w:val="Nagwek2"/>
      </w:pPr>
      <w:bookmarkStart w:id="174" w:name="_TOC_250006"/>
      <w:bookmarkStart w:id="175" w:name="_Toc63264347"/>
      <w:bookmarkStart w:id="176" w:name="_Toc73477067"/>
      <w:bookmarkStart w:id="177" w:name="_Toc73477232"/>
      <w:bookmarkStart w:id="178" w:name="_Toc73477519"/>
      <w:bookmarkStart w:id="179" w:name="_Toc73477551"/>
      <w:bookmarkStart w:id="180" w:name="_Toc108419051"/>
      <w:r w:rsidRPr="002A33E4">
        <w:t>Sposób oraz termin składania</w:t>
      </w:r>
      <w:r w:rsidRPr="002A33E4">
        <w:rPr>
          <w:spacing w:val="-4"/>
        </w:rPr>
        <w:t xml:space="preserve"> </w:t>
      </w:r>
      <w:bookmarkEnd w:id="174"/>
      <w:r w:rsidRPr="002A33E4">
        <w:t>ofert</w:t>
      </w:r>
      <w:bookmarkEnd w:id="175"/>
      <w:bookmarkEnd w:id="176"/>
      <w:bookmarkEnd w:id="177"/>
      <w:bookmarkEnd w:id="178"/>
      <w:bookmarkEnd w:id="179"/>
      <w:bookmarkEnd w:id="180"/>
    </w:p>
    <w:p w:rsidR="00804382" w:rsidRDefault="00804382" w:rsidP="00142B2B">
      <w:pPr>
        <w:pStyle w:val="Akapitzlist"/>
        <w:numPr>
          <w:ilvl w:val="0"/>
          <w:numId w:val="19"/>
        </w:numPr>
        <w:ind w:left="426"/>
      </w:pPr>
      <w:bookmarkStart w:id="181" w:name="_Toc63264348"/>
      <w:bookmarkStart w:id="182"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81"/>
      <w:bookmarkEnd w:id="182"/>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142B2B">
      <w:pPr>
        <w:pStyle w:val="Akapitzlist"/>
        <w:numPr>
          <w:ilvl w:val="0"/>
          <w:numId w:val="19"/>
        </w:numPr>
        <w:ind w:left="426"/>
      </w:pPr>
      <w:bookmarkStart w:id="183" w:name="_Toc63264349"/>
      <w:bookmarkStart w:id="184" w:name="_Toc73477069"/>
      <w:r w:rsidRPr="002A33E4">
        <w:t xml:space="preserve">Ofertę wraz z wymaganymi załącznikami należy złożyć w terminie </w:t>
      </w:r>
      <w:r w:rsidRPr="00115C5D">
        <w:rPr>
          <w:b/>
          <w:highlight w:val="yellow"/>
          <w:u w:val="single"/>
        </w:rPr>
        <w:t xml:space="preserve">do dnia </w:t>
      </w:r>
      <w:r w:rsidR="00726DF8">
        <w:rPr>
          <w:b/>
          <w:color w:val="0070C0"/>
          <w:highlight w:val="yellow"/>
          <w:u w:val="single"/>
        </w:rPr>
        <w:t>1</w:t>
      </w:r>
      <w:r w:rsidR="00172C4B">
        <w:rPr>
          <w:b/>
          <w:color w:val="0070C0"/>
          <w:highlight w:val="yellow"/>
          <w:u w:val="single"/>
        </w:rPr>
        <w:t>7</w:t>
      </w:r>
      <w:r w:rsidR="00726DF8">
        <w:rPr>
          <w:b/>
          <w:color w:val="0070C0"/>
          <w:highlight w:val="yellow"/>
          <w:u w:val="single"/>
        </w:rPr>
        <w:t>-08</w:t>
      </w:r>
      <w:r w:rsidR="008D1066" w:rsidRPr="008D1066">
        <w:rPr>
          <w:b/>
          <w:color w:val="0070C0"/>
          <w:highlight w:val="yellow"/>
          <w:u w:val="single"/>
        </w:rPr>
        <w:t>-2022 r.</w:t>
      </w:r>
      <w:r w:rsidR="008D1066" w:rsidRPr="008D1066">
        <w:rPr>
          <w:b/>
          <w:highlight w:val="yellow"/>
          <w:u w:val="single"/>
        </w:rPr>
        <w:t xml:space="preserve"> </w:t>
      </w:r>
      <w:r w:rsidRPr="00115C5D">
        <w:rPr>
          <w:b/>
          <w:highlight w:val="yellow"/>
          <w:u w:val="single"/>
        </w:rPr>
        <w:t xml:space="preserve">do </w:t>
      </w:r>
      <w:r w:rsidRPr="00822199">
        <w:rPr>
          <w:b/>
          <w:highlight w:val="yellow"/>
          <w:u w:val="single"/>
        </w:rPr>
        <w:t xml:space="preserve">godz. </w:t>
      </w:r>
      <w:r w:rsidR="00361E04">
        <w:rPr>
          <w:b/>
          <w:highlight w:val="yellow"/>
          <w:u w:val="single"/>
        </w:rPr>
        <w:t>1</w:t>
      </w:r>
      <w:r w:rsidR="005B189D">
        <w:rPr>
          <w:b/>
          <w:highlight w:val="yellow"/>
          <w:u w:val="single"/>
        </w:rPr>
        <w:t>0</w:t>
      </w:r>
      <w:r w:rsidR="00E641EA" w:rsidRPr="00822199">
        <w:rPr>
          <w:b/>
          <w:highlight w:val="yellow"/>
          <w:u w:val="single"/>
        </w:rPr>
        <w:t>:00</w:t>
      </w:r>
      <w:r w:rsidRPr="00115C5D">
        <w:rPr>
          <w:b/>
          <w:u w:val="single"/>
        </w:rPr>
        <w:t>.</w:t>
      </w:r>
      <w:bookmarkEnd w:id="183"/>
      <w:bookmarkEnd w:id="184"/>
    </w:p>
    <w:p w:rsidR="00804382" w:rsidRPr="00E61577" w:rsidRDefault="00804382" w:rsidP="00142B2B">
      <w:pPr>
        <w:pStyle w:val="Akapitzlist"/>
        <w:numPr>
          <w:ilvl w:val="0"/>
          <w:numId w:val="19"/>
        </w:numPr>
        <w:ind w:left="426"/>
      </w:pPr>
      <w:bookmarkStart w:id="185" w:name="_Toc63264350"/>
      <w:bookmarkStart w:id="186" w:name="_Toc73477070"/>
      <w:r w:rsidRPr="005D65A9">
        <w:t xml:space="preserve">Wykonawca </w:t>
      </w:r>
      <w:r w:rsidR="00355F83" w:rsidRPr="005D65A9">
        <w:t xml:space="preserve">- </w:t>
      </w:r>
      <w:r w:rsidR="00C564F6" w:rsidRPr="00E61577">
        <w:rPr>
          <w:u w:val="single"/>
        </w:rPr>
        <w:t xml:space="preserve">dla każdej z części </w:t>
      </w:r>
      <w:r w:rsidR="00890D8B" w:rsidRPr="00E61577">
        <w:rPr>
          <w:u w:val="single"/>
        </w:rPr>
        <w:t>może złożyć tylko jedną</w:t>
      </w:r>
      <w:r w:rsidRPr="00E61577">
        <w:rPr>
          <w:u w:val="single"/>
        </w:rPr>
        <w:t xml:space="preserve"> ofertę</w:t>
      </w:r>
      <w:r w:rsidR="00C564F6" w:rsidRPr="00E61577">
        <w:rPr>
          <w:u w:val="single"/>
        </w:rPr>
        <w:t xml:space="preserve">, przy </w:t>
      </w:r>
      <w:r w:rsidR="00AC673A" w:rsidRPr="00E61577">
        <w:rPr>
          <w:u w:val="single"/>
        </w:rPr>
        <w:t xml:space="preserve">czym zgodnie z art. 91 ust. 3 </w:t>
      </w:r>
      <w:proofErr w:type="spellStart"/>
      <w:r w:rsidR="00AC673A" w:rsidRPr="00E61577">
        <w:rPr>
          <w:u w:val="single"/>
        </w:rPr>
        <w:t>pzp</w:t>
      </w:r>
      <w:proofErr w:type="spellEnd"/>
      <w:r w:rsidR="00AC673A" w:rsidRPr="00E61577">
        <w:rPr>
          <w:u w:val="single"/>
        </w:rPr>
        <w:t xml:space="preserve"> </w:t>
      </w:r>
      <w:r w:rsidR="00C564F6" w:rsidRPr="00E61577">
        <w:rPr>
          <w:u w:val="single"/>
        </w:rPr>
        <w:t xml:space="preserve">jednemu wykonawcy </w:t>
      </w:r>
      <w:r w:rsidR="00DD6D7D" w:rsidRPr="00E61577">
        <w:rPr>
          <w:u w:val="single"/>
        </w:rPr>
        <w:t>zostanie</w:t>
      </w:r>
      <w:r w:rsidR="00C564F6" w:rsidRPr="00E61577">
        <w:rPr>
          <w:u w:val="single"/>
        </w:rPr>
        <w:t xml:space="preserve"> udzielone zamówienie tylko dla jednej części</w:t>
      </w:r>
      <w:bookmarkEnd w:id="185"/>
      <w:bookmarkEnd w:id="186"/>
      <w:r w:rsidR="00C564F6" w:rsidRPr="00E61577">
        <w:rPr>
          <w:u w:val="single"/>
        </w:rPr>
        <w:t>.</w:t>
      </w:r>
    </w:p>
    <w:p w:rsidR="00804382" w:rsidRPr="00E61577" w:rsidRDefault="00804382" w:rsidP="00142B2B">
      <w:pPr>
        <w:pStyle w:val="Akapitzlist"/>
        <w:numPr>
          <w:ilvl w:val="0"/>
          <w:numId w:val="19"/>
        </w:numPr>
        <w:ind w:left="426"/>
      </w:pPr>
      <w:bookmarkStart w:id="187" w:name="_Toc63264351"/>
      <w:bookmarkStart w:id="188" w:name="_Toc73477071"/>
      <w:r w:rsidRPr="005D65A9">
        <w:t>Zamawiający odrzuci ofertę</w:t>
      </w:r>
      <w:r w:rsidR="005D65A9" w:rsidRPr="005D65A9">
        <w:t xml:space="preserve"> </w:t>
      </w:r>
      <w:r w:rsidRPr="005D65A9">
        <w:t>złożoną po terminie składania ofert</w:t>
      </w:r>
      <w:bookmarkEnd w:id="187"/>
      <w:bookmarkEnd w:id="188"/>
      <w:r w:rsidR="005D65A9">
        <w:t>.</w:t>
      </w:r>
    </w:p>
    <w:p w:rsidR="00804382" w:rsidRPr="002A33E4" w:rsidRDefault="00804382" w:rsidP="00142B2B">
      <w:pPr>
        <w:pStyle w:val="Akapitzlist"/>
        <w:numPr>
          <w:ilvl w:val="0"/>
          <w:numId w:val="19"/>
        </w:numPr>
        <w:ind w:left="426"/>
      </w:pPr>
      <w:bookmarkStart w:id="189" w:name="_Toc63264352"/>
      <w:bookmarkStart w:id="190" w:name="_Toc73477072"/>
      <w:r w:rsidRPr="005D65A9">
        <w:t>Wykonawca</w:t>
      </w:r>
      <w:r w:rsidR="003F0E39" w:rsidRPr="005D65A9">
        <w:t>,</w:t>
      </w:r>
      <w:r w:rsidRPr="005D65A9">
        <w:t xml:space="preserve"> po przesłaniu oferty za pomocą Formularza do złożenia lub wycofania oferty</w:t>
      </w:r>
      <w:r w:rsidR="003F0E39" w:rsidRPr="005D65A9">
        <w:t>,</w:t>
      </w:r>
      <w:r w:rsidRPr="005D65A9">
        <w:t xml:space="preserve"> </w:t>
      </w:r>
      <w:r w:rsidR="003F0E39" w:rsidRPr="005D65A9">
        <w:br/>
      </w:r>
      <w:r w:rsidRPr="005D65A9">
        <w:t xml:space="preserve">na „ekranie sukcesu” otrzyma numer oferty generowany przez </w:t>
      </w:r>
      <w:proofErr w:type="spellStart"/>
      <w:r w:rsidRPr="005D65A9">
        <w:t>eP</w:t>
      </w:r>
      <w:r w:rsidR="005F1D54" w:rsidRPr="005D65A9">
        <w:t>UAP</w:t>
      </w:r>
      <w:proofErr w:type="spellEnd"/>
      <w:r w:rsidR="005F1D54" w:rsidRPr="005D65A9">
        <w:t>. Ten numer należy zapisać i </w:t>
      </w:r>
      <w:r w:rsidRPr="005D65A9">
        <w:t>zachować. Będzie on potrzebny w przypadku</w:t>
      </w:r>
      <w:r w:rsidRPr="002A33E4">
        <w:t xml:space="preserve"> ewentualnego wycofania oferty.</w:t>
      </w:r>
      <w:bookmarkEnd w:id="189"/>
      <w:bookmarkEnd w:id="190"/>
    </w:p>
    <w:p w:rsidR="00804382" w:rsidRPr="002A33E4" w:rsidRDefault="00804382" w:rsidP="00142B2B">
      <w:pPr>
        <w:pStyle w:val="Akapitzlist"/>
        <w:numPr>
          <w:ilvl w:val="0"/>
          <w:numId w:val="19"/>
        </w:numPr>
        <w:ind w:left="426"/>
      </w:pPr>
      <w:bookmarkStart w:id="191" w:name="_Toc63264353"/>
      <w:bookmarkStart w:id="192"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191"/>
      <w:bookmarkEnd w:id="192"/>
    </w:p>
    <w:p w:rsidR="00804382" w:rsidRPr="002A33E4" w:rsidRDefault="00804382" w:rsidP="00142B2B">
      <w:pPr>
        <w:pStyle w:val="Akapitzlist"/>
        <w:numPr>
          <w:ilvl w:val="0"/>
          <w:numId w:val="19"/>
        </w:numPr>
        <w:ind w:left="426"/>
      </w:pPr>
      <w:bookmarkStart w:id="193" w:name="_Toc63264354"/>
      <w:bookmarkStart w:id="194" w:name="_Toc73477074"/>
      <w:r w:rsidRPr="002A33E4">
        <w:t>Wykonawca po upływie terminu do składania ofert nie może wycofać złożonej oferty.</w:t>
      </w:r>
      <w:bookmarkEnd w:id="193"/>
      <w:bookmarkEnd w:id="194"/>
    </w:p>
    <w:p w:rsidR="009965C4" w:rsidRPr="00115C5D" w:rsidRDefault="009965C4" w:rsidP="00142B2B">
      <w:pPr>
        <w:pStyle w:val="Akapitzlist"/>
        <w:numPr>
          <w:ilvl w:val="0"/>
          <w:numId w:val="19"/>
        </w:numPr>
        <w:ind w:left="426"/>
        <w:rPr>
          <w:u w:val="single"/>
        </w:rPr>
      </w:pPr>
      <w:bookmarkStart w:id="195" w:name="_Toc73477075"/>
      <w:r w:rsidRPr="00115C5D">
        <w:rPr>
          <w:b/>
          <w:bCs/>
          <w:u w:val="single"/>
        </w:rPr>
        <w:t>Wymagania dotyczące wadium:</w:t>
      </w:r>
      <w:bookmarkEnd w:id="195"/>
    </w:p>
    <w:p w:rsidR="009965C4" w:rsidRPr="002A33E4" w:rsidRDefault="009965C4" w:rsidP="00115C5D">
      <w:pPr>
        <w:pStyle w:val="Tekstpodstawowywcity"/>
        <w:spacing w:after="0"/>
        <w:ind w:left="644"/>
        <w:rPr>
          <w:rFonts w:cs="Arial"/>
        </w:rPr>
      </w:pPr>
      <w:r w:rsidRPr="00E61577">
        <w:rPr>
          <w:rFonts w:cs="Arial"/>
        </w:rPr>
        <w:t>Zamawiają</w:t>
      </w:r>
      <w:r w:rsidR="001D6152" w:rsidRPr="00E61577">
        <w:rPr>
          <w:rFonts w:cs="Arial"/>
        </w:rPr>
        <w:t xml:space="preserve">cy nie wymaga wniesienia wadium </w:t>
      </w:r>
      <w:r w:rsidR="00601D35" w:rsidRPr="00E61577">
        <w:rPr>
          <w:rFonts w:cs="Arial"/>
        </w:rPr>
        <w:t xml:space="preserve">- </w:t>
      </w:r>
      <w:r w:rsidR="001D6152" w:rsidRPr="00E61577">
        <w:rPr>
          <w:rFonts w:cs="Arial"/>
        </w:rPr>
        <w:t>dla żadnej z części.</w:t>
      </w:r>
    </w:p>
    <w:p w:rsidR="00562938" w:rsidRPr="002A33E4" w:rsidRDefault="00562938" w:rsidP="005A54BA">
      <w:pPr>
        <w:pStyle w:val="Nagwek2"/>
      </w:pPr>
      <w:r w:rsidRPr="002A33E4">
        <w:tab/>
      </w:r>
      <w:bookmarkStart w:id="196" w:name="_Toc73477076"/>
      <w:bookmarkStart w:id="197" w:name="_Toc73477233"/>
      <w:bookmarkStart w:id="198" w:name="_Toc73477520"/>
      <w:bookmarkStart w:id="199" w:name="_Toc73477552"/>
      <w:bookmarkStart w:id="200" w:name="_Toc108419052"/>
      <w:r w:rsidRPr="002A33E4">
        <w:t>Termin otwarcia ofert</w:t>
      </w:r>
      <w:bookmarkEnd w:id="196"/>
      <w:bookmarkEnd w:id="197"/>
      <w:bookmarkEnd w:id="198"/>
      <w:bookmarkEnd w:id="199"/>
      <w:bookmarkEnd w:id="200"/>
    </w:p>
    <w:p w:rsidR="00CB055F" w:rsidRPr="002A33E4" w:rsidRDefault="00CB055F" w:rsidP="00142B2B">
      <w:pPr>
        <w:pStyle w:val="Akapitzlist"/>
        <w:numPr>
          <w:ilvl w:val="0"/>
          <w:numId w:val="20"/>
        </w:numPr>
        <w:ind w:left="426"/>
      </w:pPr>
      <w:bookmarkStart w:id="201" w:name="_Toc63264356"/>
      <w:bookmarkStart w:id="202" w:name="_Toc73477077"/>
      <w:r w:rsidRPr="002A33E4">
        <w:t xml:space="preserve">Otwarcie ofert nastąpi w dniu </w:t>
      </w:r>
      <w:r w:rsidR="00726DF8">
        <w:rPr>
          <w:b/>
          <w:color w:val="0070C0"/>
          <w:highlight w:val="yellow"/>
        </w:rPr>
        <w:t>1</w:t>
      </w:r>
      <w:r w:rsidR="00172C4B">
        <w:rPr>
          <w:b/>
          <w:color w:val="0070C0"/>
          <w:highlight w:val="yellow"/>
        </w:rPr>
        <w:t>7</w:t>
      </w:r>
      <w:r w:rsidR="00726DF8">
        <w:rPr>
          <w:b/>
          <w:color w:val="0070C0"/>
          <w:highlight w:val="yellow"/>
        </w:rPr>
        <w:t>-08</w:t>
      </w:r>
      <w:r w:rsidR="008D1066" w:rsidRPr="008D1066">
        <w:rPr>
          <w:b/>
          <w:color w:val="0070C0"/>
          <w:highlight w:val="yellow"/>
        </w:rPr>
        <w:t>-2022 r.</w:t>
      </w:r>
      <w:r w:rsidR="008D1066">
        <w:rPr>
          <w:b/>
          <w:highlight w:val="yellow"/>
        </w:rPr>
        <w:t xml:space="preserve"> </w:t>
      </w:r>
      <w:r w:rsidRPr="00822199">
        <w:rPr>
          <w:b/>
          <w:highlight w:val="yellow"/>
        </w:rPr>
        <w:t xml:space="preserve">o godzinie </w:t>
      </w:r>
      <w:bookmarkEnd w:id="201"/>
      <w:bookmarkEnd w:id="202"/>
      <w:r w:rsidR="008D1066" w:rsidRPr="008D1066">
        <w:rPr>
          <w:b/>
          <w:color w:val="0070C0"/>
          <w:highlight w:val="yellow"/>
        </w:rPr>
        <w:t>10:30</w:t>
      </w:r>
      <w:r w:rsidR="008D1066">
        <w:rPr>
          <w:b/>
          <w:color w:val="0070C0"/>
        </w:rPr>
        <w:t>.</w:t>
      </w:r>
      <w:r w:rsidRPr="002A33E4">
        <w:t xml:space="preserve"> </w:t>
      </w:r>
    </w:p>
    <w:p w:rsidR="00CB055F" w:rsidRPr="002A33E4" w:rsidRDefault="00CB055F" w:rsidP="00142B2B">
      <w:pPr>
        <w:pStyle w:val="Akapitzlist"/>
        <w:numPr>
          <w:ilvl w:val="0"/>
          <w:numId w:val="20"/>
        </w:numPr>
        <w:ind w:left="426"/>
      </w:pPr>
      <w:bookmarkStart w:id="203" w:name="_Toc63264357"/>
      <w:bookmarkStart w:id="204"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03"/>
      <w:bookmarkEnd w:id="204"/>
      <w:r w:rsidRPr="002A33E4">
        <w:t xml:space="preserve"> </w:t>
      </w:r>
    </w:p>
    <w:p w:rsidR="00CB055F" w:rsidRPr="002A33E4" w:rsidRDefault="00CB055F" w:rsidP="00142B2B">
      <w:pPr>
        <w:pStyle w:val="Akapitzlist"/>
        <w:numPr>
          <w:ilvl w:val="0"/>
          <w:numId w:val="20"/>
        </w:numPr>
        <w:ind w:left="426"/>
      </w:pPr>
      <w:bookmarkStart w:id="205" w:name="_Toc63264358"/>
      <w:bookmarkStart w:id="206" w:name="_Toc73477079"/>
      <w:r w:rsidRPr="002A33E4">
        <w:lastRenderedPageBreak/>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05"/>
      <w:bookmarkEnd w:id="206"/>
      <w:r w:rsidRPr="002A33E4">
        <w:t xml:space="preserve"> </w:t>
      </w:r>
    </w:p>
    <w:p w:rsidR="00CB055F" w:rsidRPr="002A33E4" w:rsidRDefault="00CB055F" w:rsidP="00142B2B">
      <w:pPr>
        <w:pStyle w:val="Akapitzlist"/>
        <w:numPr>
          <w:ilvl w:val="0"/>
          <w:numId w:val="20"/>
        </w:numPr>
        <w:ind w:left="426"/>
      </w:pPr>
      <w:bookmarkStart w:id="207" w:name="_Toc63264359"/>
      <w:bookmarkStart w:id="208" w:name="_Toc73477080"/>
      <w:r w:rsidRPr="002A33E4">
        <w:t>Zamawiający, niezwłocznie po otwarciu ofert, udostępnia na stronie internetowej prowadzonego postępowania informacje o:</w:t>
      </w:r>
      <w:bookmarkEnd w:id="207"/>
      <w:bookmarkEnd w:id="208"/>
      <w:r w:rsidRPr="002A33E4">
        <w:t xml:space="preserve"> </w:t>
      </w:r>
    </w:p>
    <w:p w:rsidR="00CB055F" w:rsidRPr="00A2740E" w:rsidRDefault="00CB055F" w:rsidP="00142B2B">
      <w:pPr>
        <w:pStyle w:val="Akapitzlist"/>
        <w:numPr>
          <w:ilvl w:val="1"/>
          <w:numId w:val="20"/>
        </w:numPr>
      </w:pPr>
      <w:bookmarkStart w:id="209" w:name="_Toc63264360"/>
      <w:bookmarkStart w:id="210" w:name="_Toc73477081"/>
      <w:r w:rsidRPr="00A2740E">
        <w:t>nazwach albo imionach i nazwiskach oraz siedzibach lub miejscach prowadzonej działalności gospodarczej albo miejscach zamieszkania wykonawców, których oferty zostały otwarte;</w:t>
      </w:r>
      <w:bookmarkEnd w:id="209"/>
      <w:bookmarkEnd w:id="210"/>
    </w:p>
    <w:p w:rsidR="00CB055F" w:rsidRPr="002A33E4" w:rsidRDefault="00CB055F" w:rsidP="00142B2B">
      <w:pPr>
        <w:pStyle w:val="Akapitzlist"/>
        <w:numPr>
          <w:ilvl w:val="1"/>
          <w:numId w:val="20"/>
        </w:numPr>
        <w:rPr>
          <w:rFonts w:cs="Arial"/>
        </w:rPr>
      </w:pPr>
      <w:bookmarkStart w:id="211" w:name="_Toc63264361"/>
      <w:bookmarkStart w:id="212" w:name="_Toc73477082"/>
      <w:r w:rsidRPr="002A33E4">
        <w:rPr>
          <w:rFonts w:cs="Arial"/>
        </w:rPr>
        <w:t>cenach lub kosztach zawartych w ofertach.</w:t>
      </w:r>
      <w:bookmarkEnd w:id="211"/>
      <w:bookmarkEnd w:id="212"/>
    </w:p>
    <w:p w:rsidR="00CB055F" w:rsidRPr="002A33E4" w:rsidRDefault="00CB055F" w:rsidP="00142B2B">
      <w:pPr>
        <w:pStyle w:val="Akapitzlist"/>
        <w:numPr>
          <w:ilvl w:val="0"/>
          <w:numId w:val="20"/>
        </w:numPr>
        <w:ind w:left="426"/>
        <w:rPr>
          <w:rFonts w:cs="Arial"/>
        </w:rPr>
      </w:pPr>
      <w:bookmarkStart w:id="213" w:name="_Toc63264362"/>
      <w:bookmarkStart w:id="214"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13"/>
      <w:bookmarkEnd w:id="214"/>
      <w:r w:rsidRPr="002A33E4">
        <w:rPr>
          <w:rFonts w:cs="Arial"/>
        </w:rPr>
        <w:t xml:space="preserve"> </w:t>
      </w:r>
    </w:p>
    <w:p w:rsidR="00CB055F" w:rsidRPr="002A33E4" w:rsidRDefault="00CB055F" w:rsidP="00142B2B">
      <w:pPr>
        <w:pStyle w:val="Akapitzlist"/>
        <w:numPr>
          <w:ilvl w:val="0"/>
          <w:numId w:val="20"/>
        </w:numPr>
        <w:ind w:left="426"/>
        <w:rPr>
          <w:rFonts w:cs="Arial"/>
        </w:rPr>
      </w:pPr>
      <w:bookmarkStart w:id="215" w:name="_Toc63264363"/>
      <w:bookmarkStart w:id="216" w:name="_Toc73477084"/>
      <w:r w:rsidRPr="002A33E4">
        <w:rPr>
          <w:rFonts w:cs="Arial"/>
        </w:rPr>
        <w:t>Zamawiający poinformuje o zmianie terminu otwarcia ofert na stronie internetowej prowadzonego postępowania.</w:t>
      </w:r>
      <w:bookmarkEnd w:id="215"/>
      <w:bookmarkEnd w:id="216"/>
    </w:p>
    <w:p w:rsidR="00804382" w:rsidRPr="002A33E4" w:rsidRDefault="00804382" w:rsidP="005A54BA">
      <w:pPr>
        <w:pStyle w:val="Nagwek2"/>
      </w:pPr>
      <w:bookmarkStart w:id="217" w:name="_TOC_250004"/>
      <w:bookmarkStart w:id="218" w:name="_Toc63264364"/>
      <w:bookmarkStart w:id="219" w:name="_Toc73477085"/>
      <w:bookmarkStart w:id="220" w:name="_Toc73477234"/>
      <w:bookmarkStart w:id="221" w:name="_Toc73477521"/>
      <w:bookmarkStart w:id="222" w:name="_Toc73477553"/>
      <w:bookmarkStart w:id="223" w:name="_Toc108419053"/>
      <w:r w:rsidRPr="002A33E4">
        <w:t>Podstawy</w:t>
      </w:r>
      <w:r w:rsidRPr="002A33E4">
        <w:rPr>
          <w:spacing w:val="-2"/>
        </w:rPr>
        <w:t xml:space="preserve"> </w:t>
      </w:r>
      <w:bookmarkEnd w:id="217"/>
      <w:r w:rsidRPr="002A33E4">
        <w:t>wykluczenia</w:t>
      </w:r>
      <w:bookmarkEnd w:id="218"/>
      <w:bookmarkEnd w:id="219"/>
      <w:bookmarkEnd w:id="220"/>
      <w:bookmarkEnd w:id="221"/>
      <w:bookmarkEnd w:id="222"/>
      <w:bookmarkEnd w:id="223"/>
    </w:p>
    <w:p w:rsidR="00804382" w:rsidRPr="002A33E4" w:rsidRDefault="00804382" w:rsidP="008E736E">
      <w:pPr>
        <w:pStyle w:val="Akapitzlist"/>
        <w:numPr>
          <w:ilvl w:val="0"/>
          <w:numId w:val="1"/>
        </w:numPr>
        <w:ind w:left="426" w:hanging="426"/>
      </w:pPr>
      <w:bookmarkStart w:id="224" w:name="_Toc63264365"/>
      <w:bookmarkStart w:id="225"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24"/>
      <w:bookmarkEnd w:id="225"/>
    </w:p>
    <w:p w:rsidR="00804382" w:rsidRPr="002A33E4" w:rsidRDefault="00804382" w:rsidP="008E736E">
      <w:pPr>
        <w:pStyle w:val="Akapitzlist"/>
        <w:numPr>
          <w:ilvl w:val="1"/>
          <w:numId w:val="1"/>
        </w:numPr>
        <w:ind w:left="709"/>
      </w:pPr>
      <w:bookmarkStart w:id="226" w:name="_Toc63264366"/>
      <w:bookmarkStart w:id="227"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26"/>
      <w:bookmarkEnd w:id="227"/>
    </w:p>
    <w:p w:rsidR="00804382" w:rsidRPr="002A33E4" w:rsidRDefault="00804382" w:rsidP="00142B2B">
      <w:pPr>
        <w:pStyle w:val="Akapitzlist"/>
        <w:numPr>
          <w:ilvl w:val="0"/>
          <w:numId w:val="21"/>
        </w:numPr>
        <w:ind w:left="1134"/>
      </w:pPr>
      <w:bookmarkStart w:id="228" w:name="_Toc63264367"/>
      <w:bookmarkStart w:id="229" w:name="_Toc73477088"/>
      <w:r w:rsidRPr="002A33E4">
        <w:t>udziału w zorganizowanej grupie przestępczej albo związku mającym na celu popełnienie przestępstwa lub przestępstwa skarbowego, o którym mowa w art. 258 Kodeksu karnego,</w:t>
      </w:r>
      <w:bookmarkEnd w:id="228"/>
      <w:bookmarkEnd w:id="229"/>
      <w:r w:rsidRPr="002A33E4">
        <w:t xml:space="preserve"> </w:t>
      </w:r>
    </w:p>
    <w:p w:rsidR="00804382" w:rsidRPr="002A33E4" w:rsidRDefault="00804382" w:rsidP="00142B2B">
      <w:pPr>
        <w:pStyle w:val="Akapitzlist"/>
        <w:numPr>
          <w:ilvl w:val="0"/>
          <w:numId w:val="21"/>
        </w:numPr>
        <w:ind w:left="1134"/>
      </w:pPr>
      <w:bookmarkStart w:id="230" w:name="_Toc63264368"/>
      <w:bookmarkStart w:id="231" w:name="_Toc73477089"/>
      <w:r w:rsidRPr="002A33E4">
        <w:t>handlu ludźmi, o którym mowa w art. 189a Kodeksu karnego,</w:t>
      </w:r>
      <w:bookmarkEnd w:id="230"/>
      <w:bookmarkEnd w:id="231"/>
      <w:r w:rsidRPr="002A33E4">
        <w:t xml:space="preserve"> </w:t>
      </w:r>
    </w:p>
    <w:p w:rsidR="00804382" w:rsidRPr="002A33E4" w:rsidRDefault="00435CF0" w:rsidP="00142B2B">
      <w:pPr>
        <w:pStyle w:val="Akapitzlist"/>
        <w:numPr>
          <w:ilvl w:val="0"/>
          <w:numId w:val="21"/>
        </w:numPr>
        <w:ind w:left="1134"/>
      </w:pPr>
      <w:bookmarkStart w:id="232" w:name="_Toc63264369"/>
      <w:bookmarkStart w:id="233" w:name="_Toc73477090"/>
      <w:r w:rsidRPr="00435CF0">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2A33E4">
        <w:t>,</w:t>
      </w:r>
      <w:bookmarkEnd w:id="232"/>
      <w:bookmarkEnd w:id="233"/>
      <w:r w:rsidR="00804382" w:rsidRPr="002A33E4">
        <w:t xml:space="preserve"> </w:t>
      </w:r>
    </w:p>
    <w:p w:rsidR="00804382" w:rsidRPr="002A33E4" w:rsidRDefault="00804382" w:rsidP="00142B2B">
      <w:pPr>
        <w:pStyle w:val="Akapitzlist"/>
        <w:numPr>
          <w:ilvl w:val="0"/>
          <w:numId w:val="21"/>
        </w:numPr>
        <w:ind w:left="1134"/>
      </w:pPr>
      <w:bookmarkStart w:id="234" w:name="_Toc63264370"/>
      <w:bookmarkStart w:id="235"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34"/>
      <w:bookmarkEnd w:id="235"/>
      <w:r w:rsidRPr="002A33E4">
        <w:t xml:space="preserve"> </w:t>
      </w:r>
    </w:p>
    <w:p w:rsidR="00804382" w:rsidRPr="002A33E4" w:rsidRDefault="00925865" w:rsidP="00142B2B">
      <w:pPr>
        <w:pStyle w:val="Akapitzlist"/>
        <w:numPr>
          <w:ilvl w:val="0"/>
          <w:numId w:val="21"/>
        </w:numPr>
        <w:ind w:left="1134"/>
      </w:pPr>
      <w:bookmarkStart w:id="236" w:name="_Toc63264371"/>
      <w:bookmarkStart w:id="237"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36"/>
      <w:bookmarkEnd w:id="237"/>
      <w:r w:rsidR="00804382" w:rsidRPr="002A33E4">
        <w:t xml:space="preserve"> </w:t>
      </w:r>
    </w:p>
    <w:p w:rsidR="00804382" w:rsidRPr="002A33E4" w:rsidRDefault="00804382" w:rsidP="00142B2B">
      <w:pPr>
        <w:pStyle w:val="Akapitzlist"/>
        <w:numPr>
          <w:ilvl w:val="0"/>
          <w:numId w:val="21"/>
        </w:numPr>
        <w:ind w:left="1134"/>
      </w:pPr>
      <w:bookmarkStart w:id="238" w:name="_Toc63264372"/>
      <w:bookmarkStart w:id="239"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38"/>
      <w:bookmarkEnd w:id="239"/>
      <w:r w:rsidRPr="002A33E4">
        <w:t xml:space="preserve"> </w:t>
      </w:r>
    </w:p>
    <w:p w:rsidR="00804382" w:rsidRPr="002A33E4" w:rsidRDefault="00804382" w:rsidP="00142B2B">
      <w:pPr>
        <w:pStyle w:val="Akapitzlist"/>
        <w:numPr>
          <w:ilvl w:val="0"/>
          <w:numId w:val="21"/>
        </w:numPr>
        <w:ind w:left="1134"/>
      </w:pPr>
      <w:bookmarkStart w:id="240" w:name="_Toc63264373"/>
      <w:bookmarkStart w:id="241"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40"/>
      <w:bookmarkEnd w:id="241"/>
      <w:r w:rsidRPr="002A33E4">
        <w:t xml:space="preserve"> </w:t>
      </w:r>
    </w:p>
    <w:p w:rsidR="00804382" w:rsidRPr="002A33E4" w:rsidRDefault="00564325" w:rsidP="00142B2B">
      <w:pPr>
        <w:pStyle w:val="Akapitzlist"/>
        <w:numPr>
          <w:ilvl w:val="0"/>
          <w:numId w:val="21"/>
        </w:numPr>
        <w:ind w:left="1134"/>
      </w:pPr>
      <w:bookmarkStart w:id="242" w:name="_Toc63264374"/>
      <w:bookmarkStart w:id="243"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42"/>
      <w:bookmarkEnd w:id="243"/>
      <w:r w:rsidR="00804382" w:rsidRPr="002A33E4">
        <w:t xml:space="preserve"> </w:t>
      </w:r>
    </w:p>
    <w:p w:rsidR="00804382" w:rsidRPr="002A33E4" w:rsidRDefault="00804382" w:rsidP="00DA48B9">
      <w:pPr>
        <w:ind w:left="709"/>
      </w:pPr>
      <w:bookmarkStart w:id="244" w:name="_Toc63264375"/>
      <w:bookmarkStart w:id="245" w:name="_Toc73477096"/>
      <w:r w:rsidRPr="002A33E4">
        <w:t>– lub za odpowiedni czyn zabroniony określony w przepisach prawa obcego;</w:t>
      </w:r>
      <w:bookmarkEnd w:id="244"/>
      <w:bookmarkEnd w:id="245"/>
    </w:p>
    <w:p w:rsidR="00804382" w:rsidRPr="002A33E4" w:rsidRDefault="00804382" w:rsidP="008E736E">
      <w:pPr>
        <w:pStyle w:val="Akapitzlist"/>
        <w:numPr>
          <w:ilvl w:val="1"/>
          <w:numId w:val="1"/>
        </w:numPr>
        <w:ind w:left="709"/>
        <w:rPr>
          <w:rFonts w:cs="Arial"/>
        </w:rPr>
      </w:pPr>
      <w:bookmarkStart w:id="246" w:name="_Toc63264376"/>
      <w:bookmarkStart w:id="247" w:name="_Toc73477097"/>
      <w:r w:rsidRPr="002A33E4">
        <w:rPr>
          <w:rFonts w:cs="Arial"/>
        </w:rPr>
        <w:t xml:space="preserve">jeżeli urzędującego członka jego organu zarządzającego lub nadzorczego, wspólnika spółki </w:t>
      </w:r>
      <w:r w:rsidRPr="002A33E4">
        <w:rPr>
          <w:rFonts w:cs="Arial"/>
        </w:rPr>
        <w:lastRenderedPageBreak/>
        <w:t>w spółce jawnej lub partnerskiej albo komplementariusza w spółce komandytowej lub komandytowo-akcyjnej lub prokurenta prawomocnie skazano za przestępstwo, o którym mowa w pkt 1.1;</w:t>
      </w:r>
      <w:bookmarkEnd w:id="246"/>
      <w:bookmarkEnd w:id="247"/>
    </w:p>
    <w:p w:rsidR="00804382" w:rsidRPr="002A33E4" w:rsidRDefault="00804382" w:rsidP="008E736E">
      <w:pPr>
        <w:pStyle w:val="Akapitzlist"/>
        <w:numPr>
          <w:ilvl w:val="1"/>
          <w:numId w:val="1"/>
        </w:numPr>
        <w:ind w:left="709"/>
        <w:rPr>
          <w:rFonts w:cs="Arial"/>
        </w:rPr>
      </w:pPr>
      <w:bookmarkStart w:id="248" w:name="_Toc63264377"/>
      <w:bookmarkStart w:id="249"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48"/>
      <w:bookmarkEnd w:id="249"/>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0" w:name="_Toc63264378"/>
      <w:bookmarkStart w:id="251" w:name="_Toc73477099"/>
      <w:r w:rsidRPr="002A33E4">
        <w:rPr>
          <w:rFonts w:cs="Arial"/>
        </w:rPr>
        <w:t>wobec którego prawomocnie orzeczono zakaz ubiegania się o zamówienia publiczne;</w:t>
      </w:r>
      <w:bookmarkEnd w:id="250"/>
      <w:bookmarkEnd w:id="25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2" w:name="_Toc63264379"/>
      <w:bookmarkStart w:id="253"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52"/>
      <w:bookmarkEnd w:id="253"/>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4" w:name="_Toc63264380"/>
      <w:bookmarkStart w:id="255"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54"/>
      <w:bookmarkEnd w:id="255"/>
      <w:r w:rsidR="008F3BB3">
        <w:rPr>
          <w:rFonts w:cs="Arial"/>
        </w:rPr>
        <w:t>:</w:t>
      </w:r>
    </w:p>
    <w:p w:rsidR="00F02E44" w:rsidRDefault="00C0752F" w:rsidP="008E736E">
      <w:pPr>
        <w:pStyle w:val="Akapitzlist"/>
        <w:numPr>
          <w:ilvl w:val="1"/>
          <w:numId w:val="1"/>
        </w:numPr>
        <w:ind w:left="709"/>
        <w:rPr>
          <w:rFonts w:cs="Arial"/>
        </w:rPr>
      </w:pPr>
      <w:bookmarkStart w:id="256"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56"/>
    </w:p>
    <w:p w:rsidR="0049593C" w:rsidRPr="00FF05C9" w:rsidRDefault="0049593C" w:rsidP="0049593C">
      <w:pPr>
        <w:ind w:left="209"/>
        <w:rPr>
          <w:rFonts w:cs="Arial"/>
        </w:rPr>
      </w:pPr>
      <w:r w:rsidRPr="00FF05C9">
        <w:rPr>
          <w:rFonts w:cs="Arial"/>
        </w:rPr>
        <w:t>ponadto</w:t>
      </w:r>
    </w:p>
    <w:p w:rsidR="0049593C" w:rsidRPr="00FF05C9" w:rsidRDefault="0049593C" w:rsidP="0049593C">
      <w:pPr>
        <w:pStyle w:val="Akapitzlist"/>
        <w:numPr>
          <w:ilvl w:val="1"/>
          <w:numId w:val="1"/>
        </w:numPr>
        <w:ind w:left="709"/>
      </w:pPr>
      <w:r w:rsidRPr="00FF05C9">
        <w:t>na podstawie art. 7 ust. 1 ustawy z dnia 13 kwietnia 2022 roku o szczególnych rozwiązaniach w zakresie przeciwdziałania wspieraniu agresji na Ukrainę oraz służących ochronie bezpieczeństwa narodowego, z postępowania o udzielenie zamówienia wyklucza się:</w:t>
      </w:r>
    </w:p>
    <w:p w:rsidR="0049593C" w:rsidRPr="00FF05C9" w:rsidRDefault="0049593C" w:rsidP="00142B2B">
      <w:pPr>
        <w:pStyle w:val="Akapitzlist"/>
        <w:numPr>
          <w:ilvl w:val="0"/>
          <w:numId w:val="34"/>
        </w:numPr>
        <w:spacing w:before="0"/>
        <w:rPr>
          <w:rFonts w:cs="Arial"/>
        </w:rPr>
      </w:pPr>
      <w:r w:rsidRPr="00FF05C9">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9593C" w:rsidRPr="00FF05C9" w:rsidRDefault="0049593C" w:rsidP="00142B2B">
      <w:pPr>
        <w:pStyle w:val="Akapitzlist"/>
        <w:numPr>
          <w:ilvl w:val="0"/>
          <w:numId w:val="34"/>
        </w:numPr>
        <w:spacing w:before="0"/>
        <w:rPr>
          <w:rFonts w:cs="Arial"/>
        </w:rPr>
      </w:pPr>
      <w:r w:rsidRPr="00FF05C9">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9593C" w:rsidRPr="00FF05C9" w:rsidRDefault="0049593C" w:rsidP="00142B2B">
      <w:pPr>
        <w:pStyle w:val="Akapitzlist"/>
        <w:numPr>
          <w:ilvl w:val="0"/>
          <w:numId w:val="34"/>
        </w:numPr>
        <w:spacing w:before="0"/>
        <w:rPr>
          <w:rFonts w:cs="Arial"/>
        </w:rPr>
      </w:pPr>
      <w:r w:rsidRPr="00FF05C9">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9593C" w:rsidRPr="00FF05C9" w:rsidRDefault="0049593C" w:rsidP="0049593C">
      <w:pPr>
        <w:ind w:left="569"/>
        <w:rPr>
          <w:rFonts w:cs="Arial"/>
        </w:rPr>
      </w:pPr>
      <w:r w:rsidRPr="00FF05C9">
        <w:rPr>
          <w:rFonts w:cs="Arial"/>
          <w:b/>
        </w:rPr>
        <w:t>UWAGA:</w:t>
      </w:r>
      <w:r w:rsidRPr="00FF05C9">
        <w:rPr>
          <w:rFonts w:cs="Arial"/>
        </w:rPr>
        <w:t xml:space="preserve"> Osoba lub podmiot podlegające wykluczeniu na podstawie ww. przepisu, które w okresie tego wykluczenia ubiegają się o udzielenie zamówienia publicznego lub </w:t>
      </w:r>
      <w:r w:rsidRPr="00FF05C9">
        <w:rPr>
          <w:rFonts w:cs="Arial"/>
        </w:rPr>
        <w:lastRenderedPageBreak/>
        <w:t>dopuszczenie do udziału w konkursie lub biorą udział w postępowaniu o udzielenie zamówienia publicznego lub w konkursie, podlegają karze pieniężnej</w:t>
      </w:r>
      <w:r w:rsidRPr="00FF05C9">
        <w:rPr>
          <w:rFonts w:cs="Arial"/>
          <w:sz w:val="18"/>
          <w:szCs w:val="18"/>
        </w:rPr>
        <w:t xml:space="preserve"> </w:t>
      </w:r>
      <w:r w:rsidRPr="00FF05C9">
        <w:rPr>
          <w:rFonts w:cs="Arial"/>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57" w:name="_Toc63264381"/>
      <w:bookmarkStart w:id="258"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57"/>
      <w:bookmarkEnd w:id="258"/>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59" w:name="_Toc63264382"/>
      <w:bookmarkStart w:id="260" w:name="_Toc73477104"/>
      <w:r w:rsidRPr="002A33E4">
        <w:rPr>
          <w:rFonts w:cs="Arial"/>
          <w:b/>
          <w:color w:val="76923C" w:themeColor="accent3" w:themeShade="BF"/>
          <w:u w:val="single"/>
        </w:rPr>
        <w:t>Wykaz oświadczeń i dokumentów potwierdzających brak podstaw wykluczenia:</w:t>
      </w:r>
      <w:bookmarkEnd w:id="259"/>
      <w:bookmarkEnd w:id="260"/>
    </w:p>
    <w:p w:rsidR="00E864E5" w:rsidRPr="002A33E4" w:rsidRDefault="00804382" w:rsidP="008E736E">
      <w:pPr>
        <w:pStyle w:val="Akapitzlist"/>
        <w:numPr>
          <w:ilvl w:val="1"/>
          <w:numId w:val="1"/>
        </w:numPr>
        <w:ind w:left="709"/>
      </w:pPr>
      <w:bookmarkStart w:id="261" w:name="_Toc73477105"/>
      <w:bookmarkStart w:id="262"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61"/>
    </w:p>
    <w:p w:rsidR="00E864E5" w:rsidRPr="002A33E4" w:rsidRDefault="00E864E5" w:rsidP="00142B2B">
      <w:pPr>
        <w:pStyle w:val="Akapitzlist"/>
        <w:numPr>
          <w:ilvl w:val="2"/>
          <w:numId w:val="17"/>
        </w:numPr>
        <w:ind w:left="1418"/>
      </w:pPr>
      <w:bookmarkStart w:id="263"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63"/>
      <w:r w:rsidR="00B64E2E">
        <w:t>,</w:t>
      </w:r>
    </w:p>
    <w:p w:rsidR="00B54960" w:rsidRPr="002A33E4" w:rsidRDefault="00B54960" w:rsidP="00142B2B">
      <w:pPr>
        <w:pStyle w:val="Akapitzlist"/>
        <w:numPr>
          <w:ilvl w:val="2"/>
          <w:numId w:val="17"/>
        </w:numPr>
        <w:ind w:left="1418"/>
      </w:pPr>
      <w:bookmarkStart w:id="264"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64"/>
    </w:p>
    <w:p w:rsidR="00804382" w:rsidRPr="002A33E4" w:rsidRDefault="00804382" w:rsidP="008E736E">
      <w:pPr>
        <w:pStyle w:val="Akapitzlist"/>
        <w:numPr>
          <w:ilvl w:val="1"/>
          <w:numId w:val="1"/>
        </w:numPr>
        <w:ind w:left="709"/>
        <w:rPr>
          <w:rFonts w:cs="Arial"/>
        </w:rPr>
      </w:pPr>
      <w:bookmarkStart w:id="265" w:name="_Toc63264384"/>
      <w:bookmarkStart w:id="266" w:name="_Toc73477108"/>
      <w:bookmarkEnd w:id="262"/>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65"/>
      <w:bookmarkEnd w:id="266"/>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7" w:name="_Toc63264385"/>
      <w:bookmarkStart w:id="268" w:name="_Toc73477109"/>
      <w:r w:rsidRPr="002A33E4">
        <w:rPr>
          <w:rFonts w:cs="Arial"/>
        </w:rPr>
        <w:t>Zamawiający nie żąda dokumentów podmiotów mających siedzibę poza terytorium Rzeczypospolitej Polskiej, z wyjątkiem oświadczenia z pkt 3.1.  powyżej.</w:t>
      </w:r>
      <w:bookmarkEnd w:id="267"/>
      <w:bookmarkEnd w:id="268"/>
      <w:r w:rsidRPr="002A33E4">
        <w:rPr>
          <w:rFonts w:cs="Arial"/>
        </w:rPr>
        <w:t xml:space="preserve"> </w:t>
      </w:r>
    </w:p>
    <w:p w:rsidR="00804382" w:rsidRPr="002A33E4" w:rsidRDefault="00804382" w:rsidP="005A54BA">
      <w:pPr>
        <w:pStyle w:val="Nagwek2"/>
      </w:pPr>
      <w:bookmarkStart w:id="269" w:name="_Toc63264386"/>
      <w:bookmarkStart w:id="270" w:name="_Toc73477110"/>
      <w:bookmarkStart w:id="271" w:name="_Toc73477235"/>
      <w:bookmarkStart w:id="272" w:name="_Toc73477522"/>
      <w:bookmarkStart w:id="273" w:name="_Toc73477554"/>
      <w:bookmarkStart w:id="274" w:name="_Toc108419054"/>
      <w:bookmarkStart w:id="275" w:name="_TOC_250003"/>
      <w:r w:rsidRPr="002A33E4">
        <w:t>Warunki udziału w postępowaniu</w:t>
      </w:r>
      <w:bookmarkEnd w:id="269"/>
      <w:bookmarkEnd w:id="270"/>
      <w:bookmarkEnd w:id="271"/>
      <w:bookmarkEnd w:id="272"/>
      <w:bookmarkEnd w:id="273"/>
      <w:bookmarkEnd w:id="274"/>
    </w:p>
    <w:p w:rsidR="00804382" w:rsidRPr="002A33E4" w:rsidRDefault="00736521" w:rsidP="00142B2B">
      <w:pPr>
        <w:pStyle w:val="Akapitzlist"/>
        <w:numPr>
          <w:ilvl w:val="0"/>
          <w:numId w:val="22"/>
        </w:numPr>
        <w:ind w:left="426"/>
      </w:pPr>
      <w:bookmarkStart w:id="276" w:name="_Toc63264387"/>
      <w:bookmarkStart w:id="277"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76"/>
      <w:bookmarkEnd w:id="277"/>
    </w:p>
    <w:p w:rsidR="009B3EBB" w:rsidRPr="009B3EBB" w:rsidRDefault="009B3EBB" w:rsidP="008E736E">
      <w:pPr>
        <w:pStyle w:val="Akapitzlist"/>
        <w:numPr>
          <w:ilvl w:val="1"/>
          <w:numId w:val="4"/>
        </w:numPr>
        <w:rPr>
          <w:b/>
        </w:rPr>
      </w:pPr>
      <w:bookmarkStart w:id="278" w:name="_Toc73477112"/>
      <w:bookmarkStart w:id="279" w:name="_Toc63264388"/>
      <w:r>
        <w:rPr>
          <w:b/>
        </w:rPr>
        <w:t xml:space="preserve">zdolności do występowania w obrocie gospodarczym - </w:t>
      </w:r>
      <w:r w:rsidRPr="002A33E4">
        <w:t>Zamawiający nie stawia wymagania w tym zakresie.</w:t>
      </w:r>
    </w:p>
    <w:p w:rsidR="005747F6" w:rsidRPr="005D65A9" w:rsidRDefault="00F33F12" w:rsidP="007E563F">
      <w:pPr>
        <w:pStyle w:val="Akapitzlist"/>
        <w:numPr>
          <w:ilvl w:val="1"/>
          <w:numId w:val="4"/>
        </w:numPr>
        <w:rPr>
          <w:b/>
        </w:rPr>
      </w:pPr>
      <w:r w:rsidRPr="005D65A9">
        <w:rPr>
          <w:b/>
        </w:rPr>
        <w:t>u</w:t>
      </w:r>
      <w:r w:rsidR="009B3EBB" w:rsidRPr="005D65A9">
        <w:rPr>
          <w:b/>
        </w:rPr>
        <w:t xml:space="preserve">prawnień do prowadzenia określonej działalności gospodarczej lub zawodowej - </w:t>
      </w:r>
      <w:r w:rsidR="005747F6" w:rsidRPr="005D65A9">
        <w:rPr>
          <w:rFonts w:cs="Arial"/>
        </w:rPr>
        <w:t>Zamawiający uzna warunek za spełniony w przypadku, gdy Wykonawca wykaże, że</w:t>
      </w:r>
      <w:r w:rsidR="007E563F" w:rsidRPr="005D65A9">
        <w:rPr>
          <w:rFonts w:cs="Arial"/>
        </w:rPr>
        <w:t xml:space="preserve"> </w:t>
      </w:r>
      <w:r w:rsidR="005747F6" w:rsidRPr="005D65A9">
        <w:t xml:space="preserve">posiada </w:t>
      </w:r>
      <w:r w:rsidR="007E563F" w:rsidRPr="005D65A9">
        <w:t xml:space="preserve">statusu Banku oraz </w:t>
      </w:r>
      <w:r w:rsidR="005747F6" w:rsidRPr="005D65A9">
        <w:t xml:space="preserve">uprawnienia do wykonywania </w:t>
      </w:r>
      <w:r w:rsidR="00073102">
        <w:t xml:space="preserve">na terytorium Rzeczypospolitej Polskiej </w:t>
      </w:r>
      <w:r w:rsidR="005747F6" w:rsidRPr="005D65A9">
        <w:t>czynności bankowych w rozumieniu ustawy z dnia 29 sierpnia 1997 r. Prawo Bankowe</w:t>
      </w:r>
      <w:r w:rsidR="00073102">
        <w:t xml:space="preserve"> (Dz.U. z 2021 poz. 2439 z </w:t>
      </w:r>
      <w:proofErr w:type="spellStart"/>
      <w:r w:rsidR="00073102">
        <w:t>późn</w:t>
      </w:r>
      <w:proofErr w:type="spellEnd"/>
      <w:r w:rsidR="00073102">
        <w:t>. zm.)</w:t>
      </w:r>
      <w:r w:rsidR="005747F6" w:rsidRPr="005D65A9">
        <w:t>,</w:t>
      </w:r>
    </w:p>
    <w:p w:rsidR="00073102" w:rsidRPr="006E3CA3" w:rsidRDefault="009C0EF5" w:rsidP="008E736E">
      <w:pPr>
        <w:pStyle w:val="Akapitzlist"/>
        <w:numPr>
          <w:ilvl w:val="1"/>
          <w:numId w:val="4"/>
        </w:numPr>
        <w:rPr>
          <w:b/>
        </w:rPr>
      </w:pPr>
      <w:r w:rsidRPr="005D65A9">
        <w:rPr>
          <w:b/>
        </w:rPr>
        <w:t xml:space="preserve">sytuacji ekonomicznej lub finansowej </w:t>
      </w:r>
      <w:r w:rsidR="00954B70" w:rsidRPr="005D65A9">
        <w:rPr>
          <w:b/>
        </w:rPr>
        <w:t xml:space="preserve">- </w:t>
      </w:r>
      <w:r w:rsidR="00387582" w:rsidRPr="005D65A9">
        <w:t xml:space="preserve">Zamawiający uzna warunek za spełniony w przypadku, gdy Wykonawca wykaże </w:t>
      </w:r>
      <w:r w:rsidR="00957B50" w:rsidRPr="005D65A9">
        <w:t xml:space="preserve">na dzień składania ofert </w:t>
      </w:r>
      <w:r w:rsidR="00387582" w:rsidRPr="005D65A9">
        <w:t>posiada</w:t>
      </w:r>
      <w:r w:rsidR="00073102">
        <w:t>:</w:t>
      </w:r>
    </w:p>
    <w:p w:rsidR="00DC525C" w:rsidRPr="006E3CA3" w:rsidRDefault="00073102" w:rsidP="00142B2B">
      <w:pPr>
        <w:pStyle w:val="Akapitzlist"/>
        <w:numPr>
          <w:ilvl w:val="0"/>
          <w:numId w:val="40"/>
        </w:numPr>
        <w:ind w:left="1560" w:hanging="709"/>
        <w:rPr>
          <w:b/>
        </w:rPr>
      </w:pPr>
      <w:r>
        <w:t>fundusze własne banku wynoszące co najmniej</w:t>
      </w:r>
      <w:r w:rsidR="00387582" w:rsidRPr="005D65A9">
        <w:t xml:space="preserve"> 130 mln zł, (słownie: sto trzydzieści milionów złotych, 00/100</w:t>
      </w:r>
      <w:bookmarkEnd w:id="278"/>
      <w:r w:rsidRPr="005D65A9">
        <w:t>)</w:t>
      </w:r>
      <w:r>
        <w:t>,</w:t>
      </w:r>
    </w:p>
    <w:p w:rsidR="00957B50" w:rsidRPr="005D65A9" w:rsidRDefault="00804382" w:rsidP="00B41CA6">
      <w:pPr>
        <w:pStyle w:val="Akapitzlist"/>
        <w:numPr>
          <w:ilvl w:val="1"/>
          <w:numId w:val="4"/>
        </w:numPr>
        <w:rPr>
          <w:rFonts w:eastAsia="Calibri" w:cs="Arial"/>
          <w:b/>
          <w:bCs/>
        </w:rPr>
      </w:pPr>
      <w:bookmarkStart w:id="280" w:name="_Toc73477113"/>
      <w:r w:rsidRPr="005D65A9">
        <w:rPr>
          <w:rFonts w:cs="Arial"/>
          <w:b/>
        </w:rPr>
        <w:t>zdolności technicznej</w:t>
      </w:r>
      <w:r w:rsidRPr="005D65A9">
        <w:rPr>
          <w:rFonts w:cs="Arial"/>
          <w:b/>
          <w:bCs/>
        </w:rPr>
        <w:t xml:space="preserve"> </w:t>
      </w:r>
      <w:r w:rsidRPr="005D65A9">
        <w:rPr>
          <w:rFonts w:cs="Arial"/>
          <w:b/>
        </w:rPr>
        <w:t>lub zawodowej</w:t>
      </w:r>
      <w:r w:rsidR="00B53427" w:rsidRPr="005D65A9">
        <w:rPr>
          <w:rFonts w:cs="Arial"/>
        </w:rPr>
        <w:t xml:space="preserve">, </w:t>
      </w:r>
      <w:r w:rsidR="00F403E9" w:rsidRPr="005D65A9">
        <w:rPr>
          <w:rFonts w:cs="Arial"/>
        </w:rPr>
        <w:t>tj.: Zamawiający</w:t>
      </w:r>
      <w:r w:rsidR="00752669" w:rsidRPr="005D65A9">
        <w:rPr>
          <w:rFonts w:cs="Arial"/>
        </w:rPr>
        <w:t xml:space="preserve"> uzna warunek za spełniony w </w:t>
      </w:r>
      <w:r w:rsidRPr="005D65A9">
        <w:rPr>
          <w:rFonts w:cs="Arial"/>
        </w:rPr>
        <w:t>przypadku, gdy Wykonawca wykaże, że</w:t>
      </w:r>
      <w:r w:rsidR="00957B50" w:rsidRPr="005D65A9">
        <w:rPr>
          <w:rFonts w:cs="Arial"/>
        </w:rPr>
        <w:t xml:space="preserve"> na dzień składania ofert:</w:t>
      </w:r>
    </w:p>
    <w:p w:rsidR="00957B50" w:rsidRPr="005D65A9" w:rsidRDefault="00957B50" w:rsidP="00957B50">
      <w:pPr>
        <w:pStyle w:val="Akapitzlist"/>
        <w:numPr>
          <w:ilvl w:val="2"/>
          <w:numId w:val="4"/>
        </w:numPr>
        <w:rPr>
          <w:rFonts w:eastAsia="Calibri" w:cs="Arial"/>
          <w:b/>
          <w:bCs/>
        </w:rPr>
      </w:pPr>
      <w:r w:rsidRPr="005D65A9">
        <w:rPr>
          <w:rFonts w:cs="Arial"/>
        </w:rPr>
        <w:t>świadczy kompleksowe usługi bankowych we wszystkich kanałach dostępu,</w:t>
      </w:r>
    </w:p>
    <w:p w:rsidR="00957B50" w:rsidRPr="005D65A9" w:rsidRDefault="00957B50" w:rsidP="00957B50">
      <w:pPr>
        <w:pStyle w:val="Akapitzlist"/>
        <w:numPr>
          <w:ilvl w:val="2"/>
          <w:numId w:val="4"/>
        </w:numPr>
        <w:rPr>
          <w:rFonts w:eastAsia="Calibri" w:cs="Arial"/>
          <w:b/>
          <w:bCs/>
        </w:rPr>
      </w:pPr>
      <w:r w:rsidRPr="005D65A9">
        <w:rPr>
          <w:rFonts w:cs="Arial"/>
        </w:rPr>
        <w:t xml:space="preserve">nie prowadzi obsługi bankowej Zamawiającego - </w:t>
      </w:r>
      <w:r w:rsidR="000A2C32" w:rsidRPr="005D65A9">
        <w:rPr>
          <w:rFonts w:cs="Arial"/>
        </w:rPr>
        <w:t>FSUSR</w:t>
      </w:r>
      <w:r w:rsidRPr="005D65A9">
        <w:rPr>
          <w:rFonts w:cs="Arial"/>
        </w:rPr>
        <w:t xml:space="preserve"> (</w:t>
      </w:r>
      <w:r w:rsidR="000A2C32" w:rsidRPr="005D65A9">
        <w:rPr>
          <w:rFonts w:eastAsia="Calibri" w:cs="Arial"/>
        </w:rPr>
        <w:t xml:space="preserve">Rozporządzeniem Ministra </w:t>
      </w:r>
      <w:r w:rsidR="000A2C32" w:rsidRPr="005D65A9">
        <w:rPr>
          <w:rFonts w:eastAsia="Calibri" w:cs="Arial"/>
        </w:rPr>
        <w:lastRenderedPageBreak/>
        <w:t xml:space="preserve">Rolnictwa i Rozwoju Wsi w sprawie sposobu prowadzenia gospodarki finansowej Kasy Rolniczego Ubezpieczenia Społecznego z dnia 21 grudnia 2018 r. (Dz.U. z 2019 r. poz. 114), </w:t>
      </w:r>
    </w:p>
    <w:p w:rsidR="001F41B5" w:rsidRDefault="000F3A68" w:rsidP="001F41B5">
      <w:pPr>
        <w:pStyle w:val="Akapitzlist"/>
        <w:numPr>
          <w:ilvl w:val="2"/>
          <w:numId w:val="4"/>
        </w:numPr>
        <w:rPr>
          <w:rFonts w:cs="Arial"/>
        </w:rPr>
      </w:pPr>
      <w:r>
        <w:rPr>
          <w:rFonts w:cs="Arial"/>
        </w:rPr>
        <w:t>zapewni obsługę mobilną pracownika banku w celu np. podpisywania dokumentów w siedzibie FSUSR</w:t>
      </w:r>
      <w:r w:rsidR="00E61577">
        <w:rPr>
          <w:rFonts w:cs="Arial"/>
        </w:rPr>
        <w:t xml:space="preserve"> (np. zawarcie umowy)</w:t>
      </w:r>
    </w:p>
    <w:p w:rsidR="00073102" w:rsidRPr="003D0767" w:rsidRDefault="00073102" w:rsidP="00E61577">
      <w:pPr>
        <w:ind w:left="426"/>
      </w:pPr>
      <w:r w:rsidRPr="00073102">
        <w:rPr>
          <w:rFonts w:eastAsia="Calibri" w:cs="Arial"/>
          <w:bCs/>
        </w:rPr>
        <w:t xml:space="preserve">Uwaga: </w:t>
      </w:r>
      <w:r w:rsidRPr="00073102">
        <w:t xml:space="preserve">W przypadku składania oferty wspólnie przez </w:t>
      </w:r>
      <w:r w:rsidRPr="003D0767">
        <w:rPr>
          <w:rFonts w:eastAsia="Calibri" w:cs="Arial"/>
          <w:bCs/>
        </w:rPr>
        <w:t xml:space="preserve">kilku </w:t>
      </w:r>
      <w:r w:rsidRPr="003D0767">
        <w:t>Wykonawców w/w warunki musi spełniać każdy z Wykonawców samodzielnie.</w:t>
      </w:r>
    </w:p>
    <w:p w:rsidR="00804382" w:rsidRPr="002A33E4" w:rsidRDefault="0015450F" w:rsidP="00142B2B">
      <w:pPr>
        <w:pStyle w:val="Akapitzlist"/>
        <w:numPr>
          <w:ilvl w:val="0"/>
          <w:numId w:val="22"/>
        </w:numPr>
        <w:ind w:left="426"/>
        <w:rPr>
          <w:rFonts w:cs="Arial"/>
          <w:b/>
          <w:color w:val="76923C"/>
          <w:u w:val="single"/>
          <w:lang w:eastAsia="ar-SA"/>
        </w:rPr>
      </w:pPr>
      <w:bookmarkStart w:id="281" w:name="_Toc73477126"/>
      <w:bookmarkEnd w:id="280"/>
      <w:bookmarkEnd w:id="279"/>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81"/>
    </w:p>
    <w:p w:rsidR="001F556B" w:rsidRPr="001F556B" w:rsidRDefault="001F556B" w:rsidP="00142B2B">
      <w:pPr>
        <w:pStyle w:val="Akapitzlist"/>
        <w:numPr>
          <w:ilvl w:val="0"/>
          <w:numId w:val="23"/>
        </w:numPr>
        <w:spacing w:after="120"/>
        <w:ind w:left="714" w:hanging="357"/>
        <w:rPr>
          <w:u w:val="single"/>
        </w:rPr>
      </w:pPr>
      <w:bookmarkStart w:id="282" w:name="_Toc63264390"/>
      <w:bookmarkStart w:id="283"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007A24BD" w:rsidRPr="007A24BD">
        <w:rPr>
          <w:b/>
          <w:u w:val="single"/>
        </w:rPr>
        <w:t xml:space="preserve">zaleca się aby </w:t>
      </w:r>
      <w:r w:rsidRPr="007A24BD">
        <w:rPr>
          <w:b/>
          <w:u w:val="single"/>
        </w:rPr>
        <w:t>wykonawca</w:t>
      </w:r>
      <w:r w:rsidRPr="001F556B">
        <w:rPr>
          <w:b/>
          <w:u w:val="single"/>
        </w:rPr>
        <w:t xml:space="preserve"> składa</w:t>
      </w:r>
      <w:r w:rsidR="007A24BD">
        <w:rPr>
          <w:b/>
          <w:u w:val="single"/>
        </w:rPr>
        <w:t>ł</w:t>
      </w:r>
      <w:r w:rsidRPr="001F556B">
        <w:rPr>
          <w:b/>
          <w:u w:val="single"/>
        </w:rPr>
        <w:t xml:space="preserve">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82"/>
      <w:bookmarkEnd w:id="283"/>
    </w:p>
    <w:p w:rsidR="000320C8" w:rsidRDefault="000320C8" w:rsidP="008E736E">
      <w:pPr>
        <w:ind w:left="426"/>
        <w:rPr>
          <w:b/>
          <w:u w:val="single"/>
        </w:rPr>
      </w:pPr>
    </w:p>
    <w:p w:rsidR="000320C8" w:rsidRPr="00463817" w:rsidRDefault="000320C8" w:rsidP="008E736E">
      <w:pPr>
        <w:ind w:left="426"/>
        <w:rPr>
          <w:color w:val="76923C" w:themeColor="accent3" w:themeShade="BF"/>
        </w:rPr>
      </w:pPr>
      <w:r w:rsidRPr="00463817">
        <w:rPr>
          <w:b/>
          <w:color w:val="76923C" w:themeColor="accent3" w:themeShade="BF"/>
          <w:u w:val="single"/>
        </w:rPr>
        <w:t>Potwierdzających niepodleganie wykluczeniu:</w:t>
      </w:r>
    </w:p>
    <w:p w:rsidR="0018200E" w:rsidRDefault="00550715" w:rsidP="00142B2B">
      <w:pPr>
        <w:pStyle w:val="Akapitzlist"/>
        <w:numPr>
          <w:ilvl w:val="0"/>
          <w:numId w:val="23"/>
        </w:numPr>
      </w:pPr>
      <w:bookmarkStart w:id="284" w:name="_Toc73477128"/>
      <w:bookmarkStart w:id="285"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284"/>
    </w:p>
    <w:p w:rsidR="005A0AB0" w:rsidRDefault="003C6127" w:rsidP="00142B2B">
      <w:pPr>
        <w:pStyle w:val="Akapitzlist"/>
        <w:numPr>
          <w:ilvl w:val="0"/>
          <w:numId w:val="23"/>
        </w:numPr>
      </w:pPr>
      <w:r w:rsidRPr="003C6127">
        <w:t>informacji z Krajowego Rejestru Karnego</w:t>
      </w:r>
      <w:r>
        <w:t xml:space="preserve"> w zakresie art. 108 ust. 1 p. 1 i 2 </w:t>
      </w:r>
      <w:r w:rsidR="00691DA4">
        <w:t xml:space="preserve">(osoby) </w:t>
      </w:r>
      <w:r>
        <w:t xml:space="preserve">oraz </w:t>
      </w:r>
      <w:r w:rsidR="00691DA4">
        <w:t xml:space="preserve">p. </w:t>
      </w:r>
      <w:r>
        <w:t>4</w:t>
      </w:r>
      <w:r w:rsidRPr="003C6127">
        <w:t xml:space="preserve"> </w:t>
      </w:r>
      <w:r w:rsidR="00691DA4">
        <w:t xml:space="preserve">(firmy) </w:t>
      </w:r>
      <w:proofErr w:type="spellStart"/>
      <w:r>
        <w:t>pzp</w:t>
      </w:r>
      <w:proofErr w:type="spellEnd"/>
      <w:r>
        <w:t xml:space="preserve"> -</w:t>
      </w:r>
      <w:r w:rsidRPr="003C6127">
        <w:t>sporządzonej nie wcześniej niż 6 miesięcy przed jej złożeniem</w:t>
      </w:r>
      <w:r>
        <w:t>,</w:t>
      </w:r>
    </w:p>
    <w:p w:rsidR="00164EBD" w:rsidRPr="00164EBD" w:rsidRDefault="00164EBD" w:rsidP="00164EBD">
      <w:pPr>
        <w:pStyle w:val="Akapitzlist"/>
        <w:spacing w:before="0"/>
        <w:ind w:left="720"/>
      </w:pPr>
      <w:r w:rsidRPr="00164EBD">
        <w:t>Je</w:t>
      </w:r>
      <w:r w:rsidRPr="00164EBD">
        <w:rPr>
          <w:rFonts w:hint="eastAsia"/>
        </w:rPr>
        <w:t>ż</w:t>
      </w:r>
      <w:r w:rsidRPr="00164EBD">
        <w:t>eli wykonawca ma siedzib</w:t>
      </w:r>
      <w:r w:rsidRPr="00164EBD">
        <w:rPr>
          <w:rFonts w:hint="eastAsia"/>
        </w:rPr>
        <w:t>ę</w:t>
      </w:r>
      <w:r w:rsidRPr="00164EBD">
        <w:t xml:space="preserve"> lub miejsce zamieszkania poza granicami Rze</w:t>
      </w:r>
      <w:r>
        <w:t xml:space="preserve">czypospolitej Polskiej, zamiast </w:t>
      </w:r>
      <w:r w:rsidRPr="00164EBD">
        <w:t xml:space="preserve"> informacji z Krajowego Rejestru Karnego,</w:t>
      </w:r>
      <w:r>
        <w:t xml:space="preserve"> -</w:t>
      </w:r>
      <w:r w:rsidRPr="00164EBD">
        <w:t xml:space="preserve"> sk</w:t>
      </w:r>
      <w:r w:rsidRPr="00164EBD">
        <w:rPr>
          <w:rFonts w:hint="eastAsia"/>
        </w:rPr>
        <w:t>ł</w:t>
      </w:r>
      <w:r w:rsidRPr="00164EBD">
        <w:t>ada informacj</w:t>
      </w:r>
      <w:r w:rsidRPr="00164EBD">
        <w:rPr>
          <w:rFonts w:hint="eastAsia"/>
        </w:rPr>
        <w:t>ę</w:t>
      </w:r>
      <w:r w:rsidRPr="00164EBD">
        <w:t xml:space="preserve"> z odpowiedniego</w:t>
      </w:r>
      <w:r>
        <w:t xml:space="preserve"> </w:t>
      </w:r>
      <w:r w:rsidRPr="00164EBD">
        <w:t>rejestru, takiego jak rejestr s</w:t>
      </w:r>
      <w:r w:rsidRPr="00164EBD">
        <w:rPr>
          <w:rFonts w:hint="eastAsia"/>
        </w:rPr>
        <w:t>ą</w:t>
      </w:r>
      <w:r w:rsidRPr="00164EBD">
        <w:t>dowy, albo, w przypadku braku takiego rejestru, inny r</w:t>
      </w:r>
      <w:r w:rsidRPr="00164EBD">
        <w:rPr>
          <w:rFonts w:hint="eastAsia"/>
        </w:rPr>
        <w:t>ó</w:t>
      </w:r>
      <w:r w:rsidRPr="00164EBD">
        <w:t>wnowa</w:t>
      </w:r>
      <w:r w:rsidRPr="00164EBD">
        <w:rPr>
          <w:rFonts w:hint="eastAsia"/>
        </w:rPr>
        <w:t>ż</w:t>
      </w:r>
      <w:r w:rsidRPr="00164EBD">
        <w:t>ny dokument wydany</w:t>
      </w:r>
      <w:r>
        <w:t xml:space="preserve"> </w:t>
      </w:r>
      <w:r w:rsidRPr="00164EBD">
        <w:t>przez w</w:t>
      </w:r>
      <w:r w:rsidRPr="00164EBD">
        <w:rPr>
          <w:rFonts w:hint="eastAsia"/>
        </w:rPr>
        <w:t>ł</w:t>
      </w:r>
      <w:r w:rsidRPr="00164EBD">
        <w:t>a</w:t>
      </w:r>
      <w:r w:rsidRPr="00164EBD">
        <w:rPr>
          <w:rFonts w:hint="eastAsia"/>
        </w:rPr>
        <w:t>ś</w:t>
      </w:r>
      <w:r w:rsidRPr="00164EBD">
        <w:t>ciwy organ s</w:t>
      </w:r>
      <w:r w:rsidRPr="00164EBD">
        <w:rPr>
          <w:rFonts w:hint="eastAsia"/>
        </w:rPr>
        <w:t>ą</w:t>
      </w:r>
      <w:r w:rsidRPr="00164EBD">
        <w:t>dowy lub administracyjny kraju, w kt</w:t>
      </w:r>
      <w:r w:rsidRPr="00164EBD">
        <w:rPr>
          <w:rFonts w:hint="eastAsia"/>
        </w:rPr>
        <w:t>ó</w:t>
      </w:r>
      <w:r w:rsidRPr="00164EBD">
        <w:t>rym wykonawca ma siedzib</w:t>
      </w:r>
      <w:r w:rsidRPr="00164EBD">
        <w:rPr>
          <w:rFonts w:hint="eastAsia"/>
        </w:rPr>
        <w:t>ę</w:t>
      </w:r>
      <w:r w:rsidRPr="00164EBD">
        <w:t xml:space="preserve"> lub miejsce zamieszkania,</w:t>
      </w:r>
    </w:p>
    <w:p w:rsidR="00164EBD" w:rsidRDefault="00164EBD" w:rsidP="00164EBD">
      <w:pPr>
        <w:pStyle w:val="Akapitzlist"/>
        <w:spacing w:before="0"/>
        <w:ind w:left="720"/>
      </w:pPr>
      <w:r>
        <w:t xml:space="preserve">w zakresie </w:t>
      </w:r>
      <w:r w:rsidR="00066785">
        <w:t xml:space="preserve">i terminie </w:t>
      </w:r>
      <w:r>
        <w:t>wskazanym powyżej</w:t>
      </w:r>
      <w:r w:rsidRPr="00164EBD">
        <w:t>;</w:t>
      </w:r>
    </w:p>
    <w:p w:rsidR="003C6127" w:rsidRDefault="003C6127" w:rsidP="00142B2B">
      <w:pPr>
        <w:pStyle w:val="Akapitzlist"/>
        <w:numPr>
          <w:ilvl w:val="0"/>
          <w:numId w:val="23"/>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64EBD" w:rsidRDefault="00ED33D8" w:rsidP="00ED33D8">
      <w:pPr>
        <w:pStyle w:val="Akapitzlist"/>
        <w:ind w:left="720"/>
      </w:pPr>
      <w:r w:rsidRPr="00ED33D8">
        <w:t>Jeżeli wykonawca ma siedzibę lub miejsce zamieszkania poza granicami Rzeczypospolitej Polskiej, zamiast</w:t>
      </w:r>
      <w:r>
        <w:t xml:space="preserve"> </w:t>
      </w:r>
      <w:r w:rsidRPr="00ED33D8">
        <w:t>informacji z Krajowego Rejestru S</w:t>
      </w:r>
      <w:r w:rsidRPr="00ED33D8">
        <w:rPr>
          <w:rFonts w:hint="eastAsia"/>
        </w:rPr>
        <w:t>ą</w:t>
      </w:r>
      <w:r w:rsidRPr="00ED33D8">
        <w:t>dowego lub z Centralnej Ewidencji i Informacji o Dzia</w:t>
      </w:r>
      <w:r w:rsidRPr="00ED33D8">
        <w:rPr>
          <w:rFonts w:hint="eastAsia"/>
        </w:rPr>
        <w:t>ł</w:t>
      </w:r>
      <w:r w:rsidRPr="00ED33D8">
        <w:t>alno</w:t>
      </w:r>
      <w:r w:rsidRPr="00ED33D8">
        <w:rPr>
          <w:rFonts w:hint="eastAsia"/>
        </w:rPr>
        <w:t>ś</w:t>
      </w:r>
      <w:r w:rsidRPr="00ED33D8">
        <w:t>ci</w:t>
      </w:r>
      <w:r>
        <w:t xml:space="preserve"> </w:t>
      </w:r>
      <w:r w:rsidRPr="00ED33D8">
        <w:t>Gospodarczej,</w:t>
      </w:r>
      <w:r>
        <w:t xml:space="preserve"> </w:t>
      </w:r>
      <w:r w:rsidRPr="00ED33D8">
        <w:rPr>
          <w:rFonts w:hint="eastAsia"/>
        </w:rPr>
        <w:t>–</w:t>
      </w:r>
      <w:r w:rsidRPr="00ED33D8">
        <w:t xml:space="preserve"> sk</w:t>
      </w:r>
      <w:r w:rsidRPr="00ED33D8">
        <w:rPr>
          <w:rFonts w:hint="eastAsia"/>
        </w:rPr>
        <w:t>ł</w:t>
      </w:r>
      <w:r w:rsidRPr="00ED33D8">
        <w:t>ada dokument lub dokumenty wystawione w kraju, w kt</w:t>
      </w:r>
      <w:r w:rsidRPr="00ED33D8">
        <w:rPr>
          <w:rFonts w:hint="eastAsia"/>
        </w:rPr>
        <w:t>ó</w:t>
      </w:r>
      <w:r w:rsidRPr="00ED33D8">
        <w:t>rym</w:t>
      </w:r>
      <w:r>
        <w:t xml:space="preserve"> </w:t>
      </w:r>
      <w:r w:rsidRPr="00ED33D8">
        <w:t>wykonawca ma siedzib</w:t>
      </w:r>
      <w:r w:rsidRPr="00ED33D8">
        <w:rPr>
          <w:rFonts w:hint="eastAsia"/>
        </w:rPr>
        <w:t>ę</w:t>
      </w:r>
      <w:r w:rsidRPr="00ED33D8">
        <w:t xml:space="preserve"> lub miejsce zamieszkania, potwierdzaj</w:t>
      </w:r>
      <w:r w:rsidRPr="00ED33D8">
        <w:rPr>
          <w:rFonts w:hint="eastAsia"/>
        </w:rPr>
        <w:t>ą</w:t>
      </w:r>
      <w:r w:rsidRPr="00ED33D8">
        <w:t xml:space="preserve">ce odpowiednio, </w:t>
      </w:r>
      <w:r w:rsidRPr="00ED33D8">
        <w:rPr>
          <w:rFonts w:hint="eastAsia"/>
        </w:rPr>
        <w:t>ż</w:t>
      </w:r>
      <w:r>
        <w:t xml:space="preserve">e </w:t>
      </w:r>
      <w:r w:rsidRPr="00ED33D8">
        <w:t>nie otwarto jego likwidacji, nie og</w:t>
      </w:r>
      <w:r w:rsidRPr="00ED33D8">
        <w:rPr>
          <w:rFonts w:hint="eastAsia"/>
        </w:rPr>
        <w:t>ł</w:t>
      </w:r>
      <w:r w:rsidRPr="00ED33D8">
        <w:t>oszono upad</w:t>
      </w:r>
      <w:r w:rsidRPr="00ED33D8">
        <w:rPr>
          <w:rFonts w:hint="eastAsia"/>
        </w:rPr>
        <w:t>ł</w:t>
      </w:r>
      <w:r w:rsidRPr="00ED33D8">
        <w:t>o</w:t>
      </w:r>
      <w:r w:rsidRPr="00ED33D8">
        <w:rPr>
          <w:rFonts w:hint="eastAsia"/>
        </w:rPr>
        <w:t>ś</w:t>
      </w:r>
      <w:r w:rsidRPr="00ED33D8">
        <w:t>ci, jego aktywami nie zarz</w:t>
      </w:r>
      <w:r w:rsidRPr="00ED33D8">
        <w:rPr>
          <w:rFonts w:hint="eastAsia"/>
        </w:rPr>
        <w:t>ą</w:t>
      </w:r>
      <w:r w:rsidRPr="00ED33D8">
        <w:t>dza likwidator lub s</w:t>
      </w:r>
      <w:r w:rsidRPr="00ED33D8">
        <w:rPr>
          <w:rFonts w:hint="eastAsia"/>
        </w:rPr>
        <w:t>ą</w:t>
      </w:r>
      <w:r w:rsidRPr="00ED33D8">
        <w:t>d, nie zawar</w:t>
      </w:r>
      <w:r w:rsidRPr="00ED33D8">
        <w:rPr>
          <w:rFonts w:hint="eastAsia"/>
        </w:rPr>
        <w:t>ł</w:t>
      </w:r>
      <w:r>
        <w:t xml:space="preserve"> </w:t>
      </w:r>
      <w:r w:rsidRPr="00ED33D8">
        <w:t>uk</w:t>
      </w:r>
      <w:r w:rsidRPr="00ED33D8">
        <w:rPr>
          <w:rFonts w:hint="eastAsia"/>
        </w:rPr>
        <w:t>ł</w:t>
      </w:r>
      <w:r w:rsidRPr="00ED33D8">
        <w:t>adu z wierzycielami, jego dzia</w:t>
      </w:r>
      <w:r w:rsidRPr="00ED33D8">
        <w:rPr>
          <w:rFonts w:hint="eastAsia"/>
        </w:rPr>
        <w:t>ł</w:t>
      </w:r>
      <w:r w:rsidRPr="00ED33D8">
        <w:t>alno</w:t>
      </w:r>
      <w:r w:rsidRPr="00ED33D8">
        <w:rPr>
          <w:rFonts w:hint="eastAsia"/>
        </w:rPr>
        <w:t>ść</w:t>
      </w:r>
      <w:r w:rsidRPr="00ED33D8">
        <w:t xml:space="preserve"> gospodarcza nie jest zawieszona ani nie znajduje si</w:t>
      </w:r>
      <w:r w:rsidRPr="00ED33D8">
        <w:rPr>
          <w:rFonts w:hint="eastAsia"/>
        </w:rPr>
        <w:t>ę</w:t>
      </w:r>
      <w:r w:rsidRPr="00ED33D8">
        <w:t xml:space="preserve"> on w innej tego</w:t>
      </w:r>
      <w:r>
        <w:t xml:space="preserve"> </w:t>
      </w:r>
      <w:r w:rsidRPr="00ED33D8">
        <w:t>rodzaju sytuacji wynikaj</w:t>
      </w:r>
      <w:r w:rsidRPr="00ED33D8">
        <w:rPr>
          <w:rFonts w:hint="eastAsia"/>
        </w:rPr>
        <w:t>ą</w:t>
      </w:r>
      <w:r w:rsidRPr="00ED33D8">
        <w:t>cej z podobnej procedury przewidzianej w przepisach miejsca wszcz</w:t>
      </w:r>
      <w:r w:rsidRPr="00ED33D8">
        <w:rPr>
          <w:rFonts w:hint="eastAsia"/>
        </w:rPr>
        <w:t>ę</w:t>
      </w:r>
      <w:r w:rsidRPr="00ED33D8">
        <w:t>cia tej procedury</w:t>
      </w:r>
      <w:r>
        <w:t>,</w:t>
      </w:r>
      <w:r w:rsidR="00066785" w:rsidRPr="00066785">
        <w:t xml:space="preserve"> </w:t>
      </w:r>
      <w:r w:rsidR="00066785">
        <w:t>terminie wskazanym powyżej,</w:t>
      </w:r>
    </w:p>
    <w:p w:rsidR="00066785" w:rsidRDefault="00066785" w:rsidP="00066785">
      <w:pPr>
        <w:pStyle w:val="Akapitzlist"/>
        <w:spacing w:before="0"/>
        <w:ind w:left="720"/>
      </w:pPr>
      <w:r>
        <w:t xml:space="preserve">Jeżeli w kraju, w którym wykonawca ma siedzibę lub miejsce zamieszkania, nie wydaje się dokumentów, o których mowa w </w:t>
      </w:r>
      <w:r w:rsidR="00B331C4">
        <w:t>p.3) i 4)</w:t>
      </w:r>
      <w:r>
        <w:t xml:space="preserve">, lub gdy dokumenty te nie odnoszą się do wszystkich przypadków, </w:t>
      </w:r>
      <w:r w:rsidR="00051EAF">
        <w:t>wskazanych przez zamawiają</w:t>
      </w:r>
      <w:r w:rsidR="00B331C4">
        <w:t>cego</w:t>
      </w:r>
      <w: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1F5368" w:rsidRDefault="001F5368" w:rsidP="00142B2B">
      <w:pPr>
        <w:pStyle w:val="Akapitzlist"/>
        <w:numPr>
          <w:ilvl w:val="0"/>
          <w:numId w:val="23"/>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Pr="00FD5F11" w:rsidRDefault="003C6127" w:rsidP="00142B2B">
      <w:pPr>
        <w:pStyle w:val="Akapitzlist"/>
        <w:numPr>
          <w:ilvl w:val="0"/>
          <w:numId w:val="23"/>
        </w:numPr>
      </w:pPr>
      <w:r w:rsidRPr="003C6127">
        <w:lastRenderedPageBreak/>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FD5F11" w:rsidRPr="00463817" w:rsidRDefault="00FD5F11" w:rsidP="00142B2B">
      <w:pPr>
        <w:pStyle w:val="Akapitzlist"/>
        <w:numPr>
          <w:ilvl w:val="0"/>
          <w:numId w:val="23"/>
        </w:numPr>
      </w:pPr>
      <w:r w:rsidRPr="00463817">
        <w:t>oświadczenia wykonawcy, iż nie znajduje się na liście osób i podmiotów - prowadzonej przez ministra właściwego ds. wewnętrznych - dotyczących sankcji, o których mowa w SWZ p. XIV.1.8.</w:t>
      </w:r>
    </w:p>
    <w:p w:rsidR="000320C8" w:rsidRPr="00463817" w:rsidRDefault="000320C8" w:rsidP="00B03642">
      <w:pPr>
        <w:spacing w:before="120"/>
        <w:ind w:left="425"/>
        <w:rPr>
          <w:color w:val="76923C" w:themeColor="accent3" w:themeShade="BF"/>
        </w:rPr>
      </w:pPr>
      <w:r w:rsidRPr="00463817">
        <w:rPr>
          <w:b/>
          <w:color w:val="76923C" w:themeColor="accent3" w:themeShade="BF"/>
          <w:u w:val="single"/>
        </w:rPr>
        <w:t>Potwierdzających spełnianie warunk</w:t>
      </w:r>
      <w:r w:rsidR="00F24848" w:rsidRPr="00463817">
        <w:rPr>
          <w:b/>
          <w:color w:val="76923C" w:themeColor="accent3" w:themeShade="BF"/>
          <w:u w:val="single"/>
        </w:rPr>
        <w:t>ów</w:t>
      </w:r>
      <w:r w:rsidRPr="00463817">
        <w:rPr>
          <w:b/>
          <w:color w:val="76923C" w:themeColor="accent3" w:themeShade="BF"/>
          <w:u w:val="single"/>
        </w:rPr>
        <w:t xml:space="preserve"> udziału w postępowaniu</w:t>
      </w:r>
    </w:p>
    <w:p w:rsidR="00463817" w:rsidRPr="003D0767" w:rsidRDefault="00537C66" w:rsidP="00142B2B">
      <w:pPr>
        <w:pStyle w:val="Akapitzlist"/>
        <w:numPr>
          <w:ilvl w:val="0"/>
          <w:numId w:val="41"/>
        </w:numPr>
        <w:ind w:hanging="436"/>
      </w:pPr>
      <w:bookmarkStart w:id="286" w:name="_Toc73477130"/>
      <w:r w:rsidRPr="009B161D">
        <w:t>dotyczących uprawnień do prowadzenia określonej działalności gospodarczej lub zawodowej – przedstawi kopię</w:t>
      </w:r>
      <w:r w:rsidR="007E563F" w:rsidRPr="009B161D">
        <w:t xml:space="preserve"> zezwoleni</w:t>
      </w:r>
      <w:r w:rsidRPr="009B161D">
        <w:t>a</w:t>
      </w:r>
      <w:r w:rsidR="007E563F" w:rsidRPr="009B161D">
        <w:t xml:space="preserve"> Komisji Nadzoru Finansowego na utworzenie </w:t>
      </w:r>
      <w:r w:rsidR="007E563F" w:rsidRPr="003D0767">
        <w:t xml:space="preserve">banku zgodnie z ustawą z dnia 29 sierpnia 1997 r. Prawo Bankowe (Dz.U. z 2021 r. poz. 2439 z </w:t>
      </w:r>
      <w:proofErr w:type="spellStart"/>
      <w:r w:rsidR="007E563F" w:rsidRPr="003D0767">
        <w:t>późn</w:t>
      </w:r>
      <w:proofErr w:type="spellEnd"/>
      <w:r w:rsidR="007E563F" w:rsidRPr="003D0767">
        <w:t>. zm.) albo – jedynie w przypadku banków utworzonych przed 1998 r. - odpowiednio; zgodę Prezesa NBP na utworzenie banku lub inny dokument uprawniający do podjęcia działalności gospodarczej w zakresie objętym przedmiotem zamówienia.</w:t>
      </w:r>
    </w:p>
    <w:p w:rsidR="001B3017" w:rsidRPr="003D0767" w:rsidRDefault="001B3017" w:rsidP="00142B2B">
      <w:pPr>
        <w:pStyle w:val="Akapitzlist"/>
        <w:numPr>
          <w:ilvl w:val="0"/>
          <w:numId w:val="41"/>
        </w:numPr>
        <w:ind w:hanging="436"/>
      </w:pPr>
      <w:r w:rsidRPr="003D0767">
        <w:t>dotyczących sytuacji ekonomicznej lub finansowej – przedstawi</w:t>
      </w:r>
      <w:r w:rsidR="003D0767" w:rsidRPr="003D0767">
        <w:t>:</w:t>
      </w:r>
      <w:r w:rsidRPr="003D0767">
        <w:t xml:space="preserve"> </w:t>
      </w:r>
    </w:p>
    <w:p w:rsidR="003D0767" w:rsidRPr="003D0767" w:rsidRDefault="003D0767" w:rsidP="00142B2B">
      <w:pPr>
        <w:pStyle w:val="Akapitzlist"/>
        <w:numPr>
          <w:ilvl w:val="1"/>
          <w:numId w:val="41"/>
        </w:numPr>
      </w:pPr>
      <w:r w:rsidRPr="003D0767">
        <w:t xml:space="preserve">informację banku potwierdzającą wysokość posiadanych funduszy własnych banku - w okresie nie wcześniejszym niż 3 miesiące przed złożeniem </w:t>
      </w:r>
      <w:r w:rsidR="00D03928">
        <w:t xml:space="preserve">oferty </w:t>
      </w:r>
      <w:r w:rsidRPr="003D0767">
        <w:t>- wynoszących co najmniej 130 mln. zł,</w:t>
      </w:r>
    </w:p>
    <w:p w:rsidR="00B42775" w:rsidRPr="003D0767" w:rsidRDefault="003D0767" w:rsidP="00142B2B">
      <w:pPr>
        <w:pStyle w:val="Akapitzlist"/>
        <w:numPr>
          <w:ilvl w:val="0"/>
          <w:numId w:val="41"/>
        </w:numPr>
        <w:ind w:hanging="436"/>
      </w:pPr>
      <w:r w:rsidRPr="003D0767">
        <w:t xml:space="preserve"> </w:t>
      </w:r>
      <w:r w:rsidR="00804382" w:rsidRPr="003D0767">
        <w:t>dotyczących zdolności technicznej lub zawodowej</w:t>
      </w:r>
      <w:r w:rsidR="008B11BB" w:rsidRPr="003D0767">
        <w:t xml:space="preserve"> –</w:t>
      </w:r>
      <w:r w:rsidR="00804382" w:rsidRPr="00CB5360">
        <w:t xml:space="preserve">- </w:t>
      </w:r>
      <w:r w:rsidR="00941728" w:rsidRPr="00CB5360">
        <w:t>przedstawi</w:t>
      </w:r>
      <w:r w:rsidR="008A7405" w:rsidRPr="00CB5360">
        <w:t xml:space="preserve"> oświadczenie potwierdzające</w:t>
      </w:r>
      <w:r w:rsidR="00931979">
        <w:t xml:space="preserve"> -</w:t>
      </w:r>
      <w:r w:rsidR="008A7405" w:rsidRPr="00CB5360">
        <w:t xml:space="preserve"> na dzień składania ofert</w:t>
      </w:r>
      <w:r w:rsidR="005A2B0C" w:rsidRPr="005A2B0C">
        <w:t xml:space="preserve"> </w:t>
      </w:r>
      <w:r w:rsidR="005A2B0C" w:rsidRPr="00CB5360">
        <w:t>że</w:t>
      </w:r>
      <w:r w:rsidR="008A7405" w:rsidRPr="00CB5360">
        <w:t>:</w:t>
      </w:r>
    </w:p>
    <w:p w:rsidR="00756762" w:rsidRPr="009B161D" w:rsidRDefault="00756762" w:rsidP="00142B2B">
      <w:pPr>
        <w:pStyle w:val="Akapitzlist"/>
        <w:numPr>
          <w:ilvl w:val="1"/>
          <w:numId w:val="37"/>
        </w:numPr>
        <w:rPr>
          <w:b/>
          <w:bCs/>
        </w:rPr>
      </w:pPr>
      <w:r w:rsidRPr="003D0767">
        <w:t>świadczy kompleksowe</w:t>
      </w:r>
      <w:r w:rsidRPr="009B161D">
        <w:t xml:space="preserve"> usługi bankow</w:t>
      </w:r>
      <w:r w:rsidR="003B7EF0" w:rsidRPr="009B161D">
        <w:t>e</w:t>
      </w:r>
      <w:r w:rsidRPr="009B161D">
        <w:t xml:space="preserve"> we wszystkich kanałach dostępu,</w:t>
      </w:r>
    </w:p>
    <w:p w:rsidR="00756762" w:rsidRPr="009B161D" w:rsidRDefault="00756762" w:rsidP="00142B2B">
      <w:pPr>
        <w:pStyle w:val="Akapitzlist"/>
        <w:numPr>
          <w:ilvl w:val="1"/>
          <w:numId w:val="37"/>
        </w:numPr>
      </w:pPr>
      <w:r w:rsidRPr="009B161D">
        <w:t xml:space="preserve">nie prowadzi obsługi bankowej Zamawiającego - </w:t>
      </w:r>
      <w:r w:rsidR="00230DA2" w:rsidRPr="009B161D">
        <w:t>FSUSR</w:t>
      </w:r>
      <w:r w:rsidRPr="009B161D">
        <w:t xml:space="preserve"> </w:t>
      </w:r>
    </w:p>
    <w:p w:rsidR="005A2B0C" w:rsidRPr="003B6345" w:rsidRDefault="005A2B0C" w:rsidP="00142B2B">
      <w:pPr>
        <w:pStyle w:val="Akapitzlist"/>
        <w:numPr>
          <w:ilvl w:val="1"/>
          <w:numId w:val="37"/>
        </w:numPr>
        <w:rPr>
          <w:rFonts w:cs="Arial"/>
        </w:rPr>
      </w:pPr>
      <w:r w:rsidRPr="005A2B0C">
        <w:rPr>
          <w:rFonts w:cs="Arial"/>
        </w:rPr>
        <w:t>w całym okresie świadczenia usługi</w:t>
      </w:r>
      <w:r w:rsidRPr="005A2B0C">
        <w:rPr>
          <w:rFonts w:eastAsia="Times New Roman" w:cs="Arial"/>
          <w:lang w:eastAsia="pl-PL"/>
        </w:rPr>
        <w:t xml:space="preserve"> obsługa bankowa </w:t>
      </w:r>
      <w:r w:rsidRPr="005A2B0C">
        <w:rPr>
          <w:rFonts w:cs="Arial"/>
        </w:rPr>
        <w:t>w pełnym zakresie objętym przedmiotem zamówienia</w:t>
      </w:r>
      <w:r w:rsidRPr="005A2B0C">
        <w:rPr>
          <w:rFonts w:eastAsia="Times New Roman" w:cs="Arial"/>
          <w:lang w:eastAsia="pl-PL"/>
        </w:rPr>
        <w:t xml:space="preserve"> będzie realizowana</w:t>
      </w:r>
      <w:r w:rsidR="00931979">
        <w:rPr>
          <w:rFonts w:eastAsia="Times New Roman" w:cs="Arial"/>
          <w:lang w:eastAsia="pl-PL"/>
        </w:rPr>
        <w:t xml:space="preserve"> w formie </w:t>
      </w:r>
      <w:r w:rsidRPr="003B6345">
        <w:rPr>
          <w:rFonts w:cs="Arial"/>
        </w:rPr>
        <w:t>obsługi mobilnej świadczonej przez pracownika banku w celu np. podpisywania dokumentów w siedzibie FSUSR oraz Centrali KRUS</w:t>
      </w:r>
    </w:p>
    <w:p w:rsidR="008131DF" w:rsidRPr="009533F7" w:rsidRDefault="000A2C32" w:rsidP="00931979">
      <w:pPr>
        <w:pStyle w:val="Akapitzlist"/>
        <w:spacing w:before="0"/>
        <w:ind w:left="1134"/>
        <w:rPr>
          <w:strike/>
        </w:rPr>
      </w:pPr>
      <w:r w:rsidRPr="009B161D">
        <w:rPr>
          <w:rFonts w:cs="Arial"/>
        </w:rPr>
        <w:t>(złożone w treści Formularza oferty)</w:t>
      </w:r>
      <w:bookmarkEnd w:id="285"/>
      <w:bookmarkEnd w:id="286"/>
    </w:p>
    <w:p w:rsidR="00A62FD5" w:rsidRPr="002A33E4" w:rsidRDefault="00A62FD5" w:rsidP="00142B2B">
      <w:pPr>
        <w:pStyle w:val="Akapitzlist"/>
        <w:numPr>
          <w:ilvl w:val="0"/>
          <w:numId w:val="41"/>
        </w:numPr>
        <w:ind w:hanging="436"/>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142B2B">
      <w:pPr>
        <w:pStyle w:val="Akapitzlist"/>
        <w:numPr>
          <w:ilvl w:val="0"/>
          <w:numId w:val="22"/>
        </w:numPr>
        <w:ind w:left="426"/>
        <w:rPr>
          <w:rFonts w:cs="Arial"/>
          <w:u w:val="single"/>
        </w:rPr>
      </w:pPr>
      <w:bookmarkStart w:id="287" w:name="_Toc63264396"/>
      <w:bookmarkStart w:id="288"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287"/>
      <w:bookmarkEnd w:id="288"/>
    </w:p>
    <w:p w:rsidR="000B5B28" w:rsidRPr="002A33E4" w:rsidRDefault="00804382" w:rsidP="00142B2B">
      <w:pPr>
        <w:pStyle w:val="Akapitzlist"/>
        <w:numPr>
          <w:ilvl w:val="0"/>
          <w:numId w:val="22"/>
        </w:numPr>
        <w:ind w:left="426"/>
        <w:rPr>
          <w:rFonts w:cs="Arial"/>
          <w:b/>
        </w:rPr>
      </w:pPr>
      <w:bookmarkStart w:id="289" w:name="_Toc63264397"/>
      <w:bookmarkStart w:id="290"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289"/>
      <w:bookmarkEnd w:id="290"/>
    </w:p>
    <w:p w:rsidR="00804382" w:rsidRPr="002A33E4" w:rsidRDefault="00804382" w:rsidP="005A54BA">
      <w:pPr>
        <w:pStyle w:val="Nagwek2"/>
      </w:pPr>
      <w:bookmarkStart w:id="291" w:name="_Toc63264398"/>
      <w:bookmarkStart w:id="292" w:name="_Toc73477137"/>
      <w:bookmarkStart w:id="293" w:name="_Toc73477236"/>
      <w:bookmarkStart w:id="294" w:name="_Toc73477523"/>
      <w:bookmarkStart w:id="295" w:name="_Toc73477555"/>
      <w:bookmarkStart w:id="296" w:name="_Toc108419055"/>
      <w:r w:rsidRPr="002A33E4">
        <w:t>Sposób obliczenia</w:t>
      </w:r>
      <w:r w:rsidRPr="002A33E4">
        <w:rPr>
          <w:spacing w:val="-4"/>
        </w:rPr>
        <w:t xml:space="preserve"> </w:t>
      </w:r>
      <w:bookmarkEnd w:id="275"/>
      <w:r w:rsidRPr="002A33E4">
        <w:t>ceny</w:t>
      </w:r>
      <w:bookmarkEnd w:id="291"/>
      <w:bookmarkEnd w:id="292"/>
      <w:bookmarkEnd w:id="293"/>
      <w:bookmarkEnd w:id="294"/>
      <w:bookmarkEnd w:id="295"/>
      <w:bookmarkEnd w:id="296"/>
    </w:p>
    <w:p w:rsidR="00804382" w:rsidRPr="002A33E4" w:rsidRDefault="00804382" w:rsidP="00142B2B">
      <w:pPr>
        <w:pStyle w:val="Akapitzlist"/>
        <w:numPr>
          <w:ilvl w:val="0"/>
          <w:numId w:val="24"/>
        </w:numPr>
        <w:ind w:left="426"/>
      </w:pPr>
      <w:bookmarkStart w:id="297" w:name="_Toc63264399"/>
      <w:bookmarkStart w:id="298" w:name="_Toc73477138"/>
      <w:r w:rsidRPr="002A33E4">
        <w:t>Wykonawca określi ceny ściśle według zapisów zawartych w Formularzu oferty – Rozdział II SWZ.</w:t>
      </w:r>
      <w:bookmarkEnd w:id="297"/>
      <w:bookmarkEnd w:id="298"/>
    </w:p>
    <w:p w:rsidR="00804382" w:rsidRPr="002A33E4" w:rsidRDefault="00804382" w:rsidP="00142B2B">
      <w:pPr>
        <w:pStyle w:val="Akapitzlist"/>
        <w:numPr>
          <w:ilvl w:val="0"/>
          <w:numId w:val="24"/>
        </w:numPr>
        <w:ind w:left="426"/>
      </w:pPr>
      <w:bookmarkStart w:id="299" w:name="_Toc63264400"/>
      <w:bookmarkStart w:id="300" w:name="_Toc73477139"/>
      <w:r w:rsidRPr="002A33E4">
        <w:t>Cena musi być podana w złotych polskich (PLN) oraz</w:t>
      </w:r>
      <w:r w:rsidR="00ED4268">
        <w:t xml:space="preserve"> wyrażona liczbowo i słownie, w </w:t>
      </w:r>
      <w:r w:rsidRPr="002A33E4">
        <w:t>zaokrągleniu do dwóch miejsc po przecinku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299"/>
      <w:bookmarkEnd w:id="300"/>
    </w:p>
    <w:p w:rsidR="00804382" w:rsidRPr="008D6825" w:rsidRDefault="00804382" w:rsidP="00142B2B">
      <w:pPr>
        <w:pStyle w:val="Akapitzlist"/>
        <w:numPr>
          <w:ilvl w:val="0"/>
          <w:numId w:val="24"/>
        </w:numPr>
        <w:ind w:left="426"/>
      </w:pPr>
      <w:bookmarkStart w:id="301" w:name="_Toc63264401"/>
      <w:bookmarkStart w:id="302" w:name="_Toc73477140"/>
      <w:r w:rsidRPr="002A33E4">
        <w:t>Cena</w:t>
      </w:r>
      <w:r w:rsidR="009D41D2">
        <w:t>/ceny</w:t>
      </w:r>
      <w:r w:rsidRPr="002A33E4">
        <w:t xml:space="preserve"> podana w ofercie jest ostateczna i nie może ulec zmianie w trakcie realizacji umowy</w:t>
      </w:r>
      <w:r w:rsidR="005B32EE">
        <w:t>, z uwzględnieniem postanowień przewidzianych w PPU</w:t>
      </w:r>
      <w:r w:rsidR="00A04475">
        <w:rPr>
          <w:rFonts w:eastAsia="Times New Roman" w:cs="Arial"/>
          <w:lang w:eastAsia="pl-PL"/>
        </w:rPr>
        <w:t>.</w:t>
      </w:r>
      <w:bookmarkEnd w:id="301"/>
      <w:bookmarkEnd w:id="302"/>
    </w:p>
    <w:p w:rsidR="008D6825" w:rsidRPr="008D6825" w:rsidRDefault="008D6825" w:rsidP="00142B2B">
      <w:pPr>
        <w:pStyle w:val="Akapitzlist"/>
        <w:numPr>
          <w:ilvl w:val="0"/>
          <w:numId w:val="24"/>
        </w:numPr>
        <w:ind w:left="426"/>
        <w:rPr>
          <w:b/>
        </w:rPr>
      </w:pPr>
      <w:r w:rsidRPr="008D6825">
        <w:rPr>
          <w:rFonts w:eastAsia="Times New Roman" w:cs="Arial"/>
          <w:b/>
          <w:lang w:eastAsia="pl-PL"/>
        </w:rPr>
        <w:t>Zaoferowane ceny będą obowiązywać w umowie przez okres co najmniej 12 m-</w:t>
      </w:r>
      <w:proofErr w:type="spellStart"/>
      <w:r w:rsidRPr="008D6825">
        <w:rPr>
          <w:rFonts w:eastAsia="Times New Roman" w:cs="Arial"/>
          <w:b/>
          <w:lang w:eastAsia="pl-PL"/>
        </w:rPr>
        <w:t>cy</w:t>
      </w:r>
      <w:proofErr w:type="spellEnd"/>
      <w:r w:rsidRPr="008D6825">
        <w:rPr>
          <w:rFonts w:eastAsia="Times New Roman" w:cs="Arial"/>
          <w:b/>
          <w:lang w:eastAsia="pl-PL"/>
        </w:rPr>
        <w:t>.</w:t>
      </w:r>
    </w:p>
    <w:p w:rsidR="00610A7F" w:rsidRPr="002A33E4" w:rsidRDefault="00610A7F" w:rsidP="00142B2B">
      <w:pPr>
        <w:pStyle w:val="Akapitzlist"/>
        <w:numPr>
          <w:ilvl w:val="0"/>
          <w:numId w:val="24"/>
        </w:numPr>
        <w:ind w:left="426"/>
      </w:pPr>
      <w:bookmarkStart w:id="303"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w:t>
      </w:r>
      <w:r w:rsidRPr="002A33E4">
        <w:lastRenderedPageBreak/>
        <w:t xml:space="preserve">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03"/>
    </w:p>
    <w:p w:rsidR="00804382" w:rsidRPr="002A33E4" w:rsidRDefault="00804382" w:rsidP="00C97CB7">
      <w:pPr>
        <w:pStyle w:val="Nagwek2"/>
      </w:pPr>
      <w:bookmarkStart w:id="304" w:name="_TOC_250002"/>
      <w:bookmarkStart w:id="305" w:name="_Toc63264408"/>
      <w:bookmarkStart w:id="306" w:name="_Toc73477142"/>
      <w:bookmarkStart w:id="307" w:name="_Toc73477237"/>
      <w:bookmarkStart w:id="308" w:name="_Toc73477524"/>
      <w:bookmarkStart w:id="309" w:name="_Toc73477556"/>
      <w:bookmarkStart w:id="310" w:name="_Toc108419056"/>
      <w:r w:rsidRPr="00C97CB7">
        <w:t>Opis</w:t>
      </w:r>
      <w:r w:rsidRPr="002A33E4">
        <w:t xml:space="preserve"> kryteriów oceny ofert, wraz z podaniem wag tych kryteriów i sposobu oceny</w:t>
      </w:r>
      <w:r w:rsidRPr="002A33E4">
        <w:rPr>
          <w:spacing w:val="-1"/>
        </w:rPr>
        <w:t xml:space="preserve"> </w:t>
      </w:r>
      <w:bookmarkEnd w:id="304"/>
      <w:r w:rsidRPr="002A33E4">
        <w:t>ofert</w:t>
      </w:r>
      <w:bookmarkEnd w:id="305"/>
      <w:bookmarkEnd w:id="306"/>
      <w:bookmarkEnd w:id="307"/>
      <w:bookmarkEnd w:id="308"/>
      <w:bookmarkEnd w:id="309"/>
      <w:bookmarkEnd w:id="310"/>
    </w:p>
    <w:p w:rsidR="00804382" w:rsidRDefault="00804382" w:rsidP="00142B2B">
      <w:pPr>
        <w:pStyle w:val="Akapitzlist"/>
        <w:numPr>
          <w:ilvl w:val="0"/>
          <w:numId w:val="25"/>
        </w:numPr>
        <w:ind w:left="426"/>
      </w:pPr>
      <w:bookmarkStart w:id="311" w:name="_Toc63264409"/>
      <w:bookmarkStart w:id="312" w:name="_Toc73477143"/>
      <w:r w:rsidRPr="002A33E4">
        <w:t xml:space="preserve">Przy wyborze oferty Zamawiający będzie się kierował </w:t>
      </w:r>
      <w:r w:rsidR="006F6658" w:rsidRPr="006F6658">
        <w:rPr>
          <w:b/>
          <w:u w:val="single"/>
        </w:rPr>
        <w:t xml:space="preserve">poniższymi </w:t>
      </w:r>
      <w:r w:rsidRPr="006F6658">
        <w:rPr>
          <w:b/>
          <w:u w:val="single"/>
        </w:rPr>
        <w:t>kryteri</w:t>
      </w:r>
      <w:r w:rsidR="006F6658" w:rsidRPr="006F6658">
        <w:rPr>
          <w:b/>
          <w:u w:val="single"/>
        </w:rPr>
        <w:t>ami</w:t>
      </w:r>
      <w:r w:rsidR="006F6658" w:rsidRPr="001F11AD">
        <w:t xml:space="preserve"> </w:t>
      </w:r>
      <w:r w:rsidR="00581D36">
        <w:t>– dla każdej części odrębnie</w:t>
      </w:r>
      <w:r w:rsidRPr="002A33E4">
        <w:t>.</w:t>
      </w:r>
      <w:bookmarkEnd w:id="311"/>
      <w:bookmarkEnd w:id="312"/>
      <w:r w:rsidRPr="002A33E4">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1276"/>
        <w:gridCol w:w="4819"/>
      </w:tblGrid>
      <w:tr w:rsidR="006F6658" w:rsidRPr="006F6658" w:rsidTr="00F92D62">
        <w:trPr>
          <w:trHeight w:val="567"/>
        </w:trPr>
        <w:tc>
          <w:tcPr>
            <w:tcW w:w="567" w:type="dxa"/>
            <w:vAlign w:val="center"/>
          </w:tcPr>
          <w:p w:rsidR="006F6658" w:rsidRPr="006F6658" w:rsidRDefault="006F6658" w:rsidP="006F6658">
            <w:pPr>
              <w:spacing w:after="60"/>
              <w:jc w:val="center"/>
            </w:pPr>
            <w:proofErr w:type="spellStart"/>
            <w:r w:rsidRPr="006F6658">
              <w:t>Lp</w:t>
            </w:r>
            <w:proofErr w:type="spellEnd"/>
          </w:p>
        </w:tc>
        <w:tc>
          <w:tcPr>
            <w:tcW w:w="2835" w:type="dxa"/>
            <w:vAlign w:val="center"/>
          </w:tcPr>
          <w:p w:rsidR="006F6658" w:rsidRPr="006F6658" w:rsidRDefault="006F6658" w:rsidP="006F6658">
            <w:pPr>
              <w:spacing w:after="60"/>
              <w:jc w:val="center"/>
            </w:pPr>
            <w:r w:rsidRPr="006F6658">
              <w:t>Kryterium</w:t>
            </w:r>
          </w:p>
        </w:tc>
        <w:tc>
          <w:tcPr>
            <w:tcW w:w="1276" w:type="dxa"/>
            <w:vAlign w:val="center"/>
          </w:tcPr>
          <w:p w:rsidR="006F6658" w:rsidRPr="006F6658" w:rsidRDefault="006F6658" w:rsidP="006F6658">
            <w:pPr>
              <w:spacing w:after="60"/>
              <w:jc w:val="center"/>
            </w:pPr>
            <w:r w:rsidRPr="006F6658">
              <w:t>Znaczenie w %</w:t>
            </w:r>
          </w:p>
        </w:tc>
        <w:tc>
          <w:tcPr>
            <w:tcW w:w="4819" w:type="dxa"/>
            <w:vAlign w:val="center"/>
          </w:tcPr>
          <w:p w:rsidR="006F6658" w:rsidRPr="006F6658" w:rsidRDefault="006F6658" w:rsidP="006F6658">
            <w:pPr>
              <w:spacing w:after="60"/>
              <w:jc w:val="center"/>
            </w:pPr>
            <w:r w:rsidRPr="006F6658">
              <w:t>Opis</w:t>
            </w:r>
          </w:p>
        </w:tc>
      </w:tr>
      <w:tr w:rsidR="006F6658" w:rsidRPr="006F6658" w:rsidTr="00F92D62">
        <w:tc>
          <w:tcPr>
            <w:tcW w:w="567" w:type="dxa"/>
            <w:vAlign w:val="center"/>
          </w:tcPr>
          <w:p w:rsidR="006F6658" w:rsidRPr="006F6658" w:rsidRDefault="006F6658" w:rsidP="006F6658">
            <w:pPr>
              <w:spacing w:after="60"/>
              <w:jc w:val="center"/>
              <w:rPr>
                <w:b/>
              </w:rPr>
            </w:pPr>
            <w:r w:rsidRPr="006F6658">
              <w:rPr>
                <w:b/>
              </w:rPr>
              <w:t>A</w:t>
            </w:r>
          </w:p>
        </w:tc>
        <w:tc>
          <w:tcPr>
            <w:tcW w:w="2835" w:type="dxa"/>
            <w:vAlign w:val="center"/>
          </w:tcPr>
          <w:p w:rsidR="006F6658" w:rsidRPr="006F6658" w:rsidRDefault="006F6658" w:rsidP="006F6658">
            <w:pPr>
              <w:spacing w:after="60"/>
              <w:rPr>
                <w:b/>
              </w:rPr>
            </w:pPr>
            <w:r w:rsidRPr="006F6658">
              <w:rPr>
                <w:b/>
              </w:rPr>
              <w:t>Cena (</w:t>
            </w:r>
            <w:proofErr w:type="spellStart"/>
            <w:r w:rsidRPr="006F6658">
              <w:rPr>
                <w:b/>
              </w:rPr>
              <w:t>Kc</w:t>
            </w:r>
            <w:proofErr w:type="spellEnd"/>
            <w:r w:rsidRPr="006F6658">
              <w:rPr>
                <w:b/>
              </w:rPr>
              <w:t>)</w:t>
            </w:r>
          </w:p>
        </w:tc>
        <w:tc>
          <w:tcPr>
            <w:tcW w:w="1276" w:type="dxa"/>
            <w:vAlign w:val="center"/>
          </w:tcPr>
          <w:p w:rsidR="006F6658" w:rsidRPr="006F6658" w:rsidRDefault="003D0767" w:rsidP="006F6658">
            <w:pPr>
              <w:spacing w:after="60"/>
              <w:jc w:val="center"/>
            </w:pPr>
            <w:r>
              <w:t>90</w:t>
            </w:r>
          </w:p>
        </w:tc>
        <w:tc>
          <w:tcPr>
            <w:tcW w:w="4819" w:type="dxa"/>
          </w:tcPr>
          <w:p w:rsidR="006F6658" w:rsidRPr="006F6658" w:rsidRDefault="00F779DB" w:rsidP="00F779DB">
            <w:pPr>
              <w:spacing w:after="60"/>
            </w:pPr>
            <w:r>
              <w:t>c</w:t>
            </w:r>
            <w:r w:rsidR="006F6658" w:rsidRPr="006F6658">
              <w:t>en</w:t>
            </w:r>
            <w:r>
              <w:t xml:space="preserve">y opłat i prowizji </w:t>
            </w:r>
            <w:r w:rsidR="006F6658" w:rsidRPr="006F6658">
              <w:t>(podan</w:t>
            </w:r>
            <w:r>
              <w:t>e</w:t>
            </w:r>
            <w:r w:rsidR="006F6658" w:rsidRPr="006F6658">
              <w:t xml:space="preserve"> przez Wykonawcę w zł brutto)</w:t>
            </w:r>
          </w:p>
        </w:tc>
      </w:tr>
      <w:tr w:rsidR="006F6658" w:rsidRPr="006F6658" w:rsidTr="00F92D62">
        <w:tc>
          <w:tcPr>
            <w:tcW w:w="567" w:type="dxa"/>
            <w:vAlign w:val="center"/>
          </w:tcPr>
          <w:p w:rsidR="006F6658" w:rsidRPr="006F6658" w:rsidRDefault="006F6658" w:rsidP="006F6658">
            <w:pPr>
              <w:spacing w:after="60"/>
              <w:jc w:val="center"/>
              <w:rPr>
                <w:b/>
              </w:rPr>
            </w:pPr>
            <w:r w:rsidRPr="006F6658">
              <w:rPr>
                <w:b/>
              </w:rPr>
              <w:t>B</w:t>
            </w:r>
          </w:p>
        </w:tc>
        <w:tc>
          <w:tcPr>
            <w:tcW w:w="2835" w:type="dxa"/>
            <w:shd w:val="clear" w:color="auto" w:fill="auto"/>
            <w:vAlign w:val="center"/>
          </w:tcPr>
          <w:p w:rsidR="006F6658" w:rsidRPr="006F6658" w:rsidRDefault="006F6658" w:rsidP="003D0767">
            <w:pPr>
              <w:spacing w:after="60"/>
              <w:rPr>
                <w:b/>
              </w:rPr>
            </w:pPr>
            <w:r w:rsidRPr="005C4787">
              <w:rPr>
                <w:b/>
              </w:rPr>
              <w:t>Oprocentowani</w:t>
            </w:r>
            <w:r w:rsidR="00054813" w:rsidRPr="005C4787">
              <w:rPr>
                <w:b/>
              </w:rPr>
              <w:t>e</w:t>
            </w:r>
            <w:r w:rsidRPr="005C4787">
              <w:rPr>
                <w:b/>
              </w:rPr>
              <w:t xml:space="preserve"> lokat</w:t>
            </w:r>
            <w:r w:rsidR="003D0767">
              <w:rPr>
                <w:b/>
              </w:rPr>
              <w:t>y</w:t>
            </w:r>
            <w:r w:rsidRPr="005C4787">
              <w:rPr>
                <w:b/>
              </w:rPr>
              <w:t xml:space="preserve"> </w:t>
            </w:r>
            <w:r w:rsidR="003D0767" w:rsidRPr="005C4787">
              <w:rPr>
                <w:b/>
              </w:rPr>
              <w:t>terminow</w:t>
            </w:r>
            <w:r w:rsidR="003D0767">
              <w:rPr>
                <w:b/>
              </w:rPr>
              <w:t>ej</w:t>
            </w:r>
            <w:r w:rsidR="003D0767" w:rsidRPr="006F6658">
              <w:rPr>
                <w:b/>
              </w:rPr>
              <w:t xml:space="preserve"> </w:t>
            </w:r>
            <w:r w:rsidRPr="006F6658">
              <w:rPr>
                <w:b/>
              </w:rPr>
              <w:t>(K</w:t>
            </w:r>
            <w:r w:rsidRPr="005C4787">
              <w:rPr>
                <w:b/>
              </w:rPr>
              <w:t>o</w:t>
            </w:r>
            <w:r w:rsidRPr="006F6658">
              <w:rPr>
                <w:b/>
              </w:rPr>
              <w:t>)</w:t>
            </w:r>
          </w:p>
        </w:tc>
        <w:tc>
          <w:tcPr>
            <w:tcW w:w="1276" w:type="dxa"/>
            <w:shd w:val="clear" w:color="auto" w:fill="auto"/>
            <w:vAlign w:val="center"/>
          </w:tcPr>
          <w:p w:rsidR="006F6658" w:rsidRPr="006F6658" w:rsidRDefault="003D0767" w:rsidP="006F6658">
            <w:pPr>
              <w:spacing w:after="60"/>
              <w:jc w:val="center"/>
            </w:pPr>
            <w:r>
              <w:t>10</w:t>
            </w:r>
          </w:p>
        </w:tc>
        <w:tc>
          <w:tcPr>
            <w:tcW w:w="4819" w:type="dxa"/>
            <w:shd w:val="clear" w:color="auto" w:fill="auto"/>
          </w:tcPr>
          <w:p w:rsidR="006F6658" w:rsidRPr="006F6658" w:rsidRDefault="003D0767" w:rsidP="00F779DB">
            <w:pPr>
              <w:spacing w:after="60"/>
            </w:pPr>
            <w:r w:rsidRPr="00F779DB">
              <w:t>wysokoś</w:t>
            </w:r>
            <w:r>
              <w:t>ć</w:t>
            </w:r>
            <w:r w:rsidRPr="00F779DB">
              <w:t xml:space="preserve"> oprocentowania </w:t>
            </w:r>
            <w:r>
              <w:t>wskazanej</w:t>
            </w:r>
            <w:r w:rsidRPr="00F779DB">
              <w:t xml:space="preserve"> lokat</w:t>
            </w:r>
            <w:r>
              <w:t>y</w:t>
            </w:r>
            <w:r w:rsidRPr="00F779DB">
              <w:t xml:space="preserve"> terminow</w:t>
            </w:r>
            <w:r>
              <w:t>ej</w:t>
            </w:r>
            <w:r w:rsidRPr="00F779DB">
              <w:t xml:space="preserve"> </w:t>
            </w:r>
            <w:r>
              <w:t>(</w:t>
            </w:r>
            <w:r w:rsidRPr="00F779DB">
              <w:t>podan</w:t>
            </w:r>
            <w:r>
              <w:t>a</w:t>
            </w:r>
            <w:r w:rsidRPr="00F779DB">
              <w:t xml:space="preserve"> przez Wykonawcę w </w:t>
            </w:r>
            <w:r>
              <w:t>%</w:t>
            </w:r>
            <w:r w:rsidRPr="00F779DB">
              <w:t>)</w:t>
            </w:r>
            <w:r>
              <w:t xml:space="preserve"> </w:t>
            </w:r>
          </w:p>
        </w:tc>
      </w:tr>
    </w:tbl>
    <w:p w:rsidR="006F6658" w:rsidRDefault="00054813" w:rsidP="006F6658">
      <w:pPr>
        <w:pStyle w:val="Akapitzlist"/>
        <w:ind w:left="426"/>
      </w:pPr>
      <w:r w:rsidRPr="00054813">
        <w:t>Wskaźnik wynikowy (W) stanowi sumę punktów uzyskanych w poszczególnych kryteriach oceny ofert, wg wzoru:</w:t>
      </w:r>
      <w:r w:rsidRPr="00054813">
        <w:rPr>
          <w:b/>
          <w:bCs/>
        </w:rPr>
        <w:t xml:space="preserve"> W = </w:t>
      </w:r>
      <w:proofErr w:type="spellStart"/>
      <w:r w:rsidRPr="00054813">
        <w:rPr>
          <w:b/>
          <w:bCs/>
        </w:rPr>
        <w:t>Kc</w:t>
      </w:r>
      <w:proofErr w:type="spellEnd"/>
      <w:r w:rsidRPr="00054813">
        <w:rPr>
          <w:b/>
          <w:bCs/>
          <w:vertAlign w:val="subscript"/>
        </w:rPr>
        <w:t xml:space="preserve"> </w:t>
      </w:r>
      <w:r w:rsidRPr="00054813">
        <w:rPr>
          <w:b/>
          <w:bCs/>
        </w:rPr>
        <w:t>+ K</w:t>
      </w:r>
      <w:r>
        <w:rPr>
          <w:b/>
          <w:bCs/>
        </w:rPr>
        <w:t>o</w:t>
      </w:r>
      <w:r w:rsidRPr="00054813">
        <w:t>, przy czym wszystkie obliczenia dokonywane będą z dokładnością do dwóch miejsc po przecinku</w:t>
      </w:r>
      <w:r>
        <w:t>, wg. poniższych zasad:</w:t>
      </w:r>
    </w:p>
    <w:p w:rsidR="006F6658" w:rsidRDefault="00054813" w:rsidP="00142B2B">
      <w:pPr>
        <w:pStyle w:val="Akapitzlist"/>
        <w:numPr>
          <w:ilvl w:val="0"/>
          <w:numId w:val="38"/>
        </w:numPr>
      </w:pPr>
      <w:r w:rsidRPr="00054813">
        <w:rPr>
          <w:b/>
          <w:u w:val="single"/>
        </w:rPr>
        <w:t>Kryterium ceny</w:t>
      </w:r>
      <w:r w:rsidRPr="00054813">
        <w:rPr>
          <w:b/>
        </w:rPr>
        <w:t xml:space="preserve"> (</w:t>
      </w:r>
      <w:proofErr w:type="spellStart"/>
      <w:r w:rsidRPr="00054813">
        <w:rPr>
          <w:b/>
        </w:rPr>
        <w:t>Kc</w:t>
      </w:r>
      <w:proofErr w:type="spellEnd"/>
      <w:r w:rsidRPr="00054813">
        <w:rPr>
          <w:b/>
        </w:rPr>
        <w:t>)</w:t>
      </w:r>
    </w:p>
    <w:p w:rsidR="00FB7574" w:rsidRDefault="00FB7574" w:rsidP="00F727A8">
      <w:pPr>
        <w:ind w:left="567"/>
      </w:pPr>
      <w:bookmarkStart w:id="313" w:name="_Toc63264410"/>
      <w:bookmarkStart w:id="314" w:name="_Toc73477144"/>
    </w:p>
    <w:tbl>
      <w:tblPr>
        <w:tblStyle w:val="Tabela-Siatka1"/>
        <w:tblW w:w="0" w:type="auto"/>
        <w:jc w:val="center"/>
        <w:tblInd w:w="-2234" w:type="dxa"/>
        <w:tblLook w:val="04A0" w:firstRow="1" w:lastRow="0" w:firstColumn="1" w:lastColumn="0" w:noHBand="0" w:noVBand="1"/>
      </w:tblPr>
      <w:tblGrid>
        <w:gridCol w:w="750"/>
        <w:gridCol w:w="4175"/>
        <w:gridCol w:w="2095"/>
        <w:gridCol w:w="2658"/>
      </w:tblGrid>
      <w:tr w:rsidR="00FB7574" w:rsidRPr="00CC08B0" w:rsidTr="00FB7574">
        <w:trPr>
          <w:jc w:val="center"/>
        </w:trPr>
        <w:tc>
          <w:tcPr>
            <w:tcW w:w="750" w:type="dxa"/>
            <w:vAlign w:val="center"/>
          </w:tcPr>
          <w:p w:rsidR="00FB7574" w:rsidRPr="00FF3F7B" w:rsidRDefault="00FB7574" w:rsidP="00FB7574">
            <w:pPr>
              <w:widowControl/>
              <w:autoSpaceDE/>
              <w:autoSpaceDN/>
              <w:jc w:val="center"/>
              <w:rPr>
                <w:rFonts w:eastAsia="Calibri" w:cs="Arial"/>
                <w:b/>
                <w:sz w:val="20"/>
                <w:szCs w:val="20"/>
              </w:rPr>
            </w:pPr>
            <w:r w:rsidRPr="00FF3F7B">
              <w:rPr>
                <w:rFonts w:eastAsia="Calibri" w:cs="Arial"/>
                <w:b/>
                <w:sz w:val="20"/>
                <w:szCs w:val="20"/>
              </w:rPr>
              <w:t>L.p</w:t>
            </w:r>
            <w:r>
              <w:rPr>
                <w:rFonts w:eastAsia="Calibri" w:cs="Arial"/>
                <w:b/>
                <w:sz w:val="20"/>
                <w:szCs w:val="20"/>
              </w:rPr>
              <w:t>.</w:t>
            </w:r>
          </w:p>
        </w:tc>
        <w:tc>
          <w:tcPr>
            <w:tcW w:w="4175" w:type="dxa"/>
            <w:vAlign w:val="center"/>
          </w:tcPr>
          <w:p w:rsidR="00FB7574" w:rsidRPr="00CC08B0" w:rsidRDefault="00FB7574" w:rsidP="00FB7574">
            <w:pPr>
              <w:widowControl/>
              <w:autoSpaceDE/>
              <w:autoSpaceDN/>
              <w:spacing w:before="120" w:after="120"/>
              <w:jc w:val="center"/>
              <w:rPr>
                <w:rFonts w:eastAsia="Calibri" w:cs="Arial"/>
                <w:b/>
                <w:sz w:val="20"/>
                <w:szCs w:val="20"/>
              </w:rPr>
            </w:pPr>
            <w:r w:rsidRPr="00CC08B0">
              <w:rPr>
                <w:rFonts w:eastAsia="Calibri" w:cs="Arial"/>
                <w:b/>
                <w:sz w:val="20"/>
                <w:szCs w:val="20"/>
              </w:rPr>
              <w:t>Rodzaj usługi</w:t>
            </w:r>
          </w:p>
        </w:tc>
        <w:tc>
          <w:tcPr>
            <w:tcW w:w="2095" w:type="dxa"/>
            <w:vAlign w:val="center"/>
          </w:tcPr>
          <w:p w:rsidR="00FB7574" w:rsidRDefault="00FB7574" w:rsidP="00FB7574">
            <w:pPr>
              <w:widowControl/>
              <w:autoSpaceDE/>
              <w:autoSpaceDN/>
              <w:jc w:val="center"/>
              <w:rPr>
                <w:rFonts w:eastAsia="Calibri" w:cs="Arial"/>
                <w:b/>
                <w:sz w:val="20"/>
                <w:szCs w:val="20"/>
              </w:rPr>
            </w:pPr>
            <w:r w:rsidRPr="00CC08B0">
              <w:rPr>
                <w:rFonts w:eastAsia="Calibri" w:cs="Arial"/>
                <w:b/>
                <w:sz w:val="20"/>
                <w:szCs w:val="20"/>
              </w:rPr>
              <w:t>Waga elementu</w:t>
            </w:r>
            <w:r>
              <w:rPr>
                <w:rFonts w:eastAsia="Calibri" w:cs="Arial"/>
                <w:b/>
                <w:sz w:val="20"/>
                <w:szCs w:val="20"/>
              </w:rPr>
              <w:t xml:space="preserve"> </w:t>
            </w:r>
          </w:p>
          <w:p w:rsidR="00FB7574" w:rsidRPr="00CC08B0" w:rsidRDefault="00FB7574" w:rsidP="00FB7574">
            <w:pPr>
              <w:widowControl/>
              <w:autoSpaceDE/>
              <w:autoSpaceDN/>
              <w:jc w:val="center"/>
              <w:rPr>
                <w:rFonts w:eastAsia="Calibri" w:cs="Arial"/>
                <w:b/>
                <w:sz w:val="20"/>
                <w:szCs w:val="20"/>
              </w:rPr>
            </w:pPr>
            <w:r>
              <w:rPr>
                <w:rFonts w:eastAsia="Calibri" w:cs="Arial"/>
                <w:b/>
                <w:sz w:val="20"/>
                <w:szCs w:val="20"/>
              </w:rPr>
              <w:t>(z)</w:t>
            </w:r>
          </w:p>
        </w:tc>
        <w:tc>
          <w:tcPr>
            <w:tcW w:w="2658" w:type="dxa"/>
            <w:vAlign w:val="center"/>
          </w:tcPr>
          <w:p w:rsidR="00FB7574" w:rsidRPr="00CC08B0" w:rsidRDefault="00FB7574" w:rsidP="00FB7574">
            <w:pPr>
              <w:widowControl/>
              <w:autoSpaceDE/>
              <w:autoSpaceDN/>
              <w:jc w:val="center"/>
              <w:rPr>
                <w:rFonts w:eastAsia="Calibri" w:cs="Arial"/>
                <w:b/>
                <w:sz w:val="20"/>
                <w:szCs w:val="20"/>
              </w:rPr>
            </w:pPr>
            <w:r w:rsidRPr="00CC08B0">
              <w:rPr>
                <w:rFonts w:eastAsia="Calibri" w:cs="Arial"/>
                <w:b/>
                <w:sz w:val="20"/>
                <w:szCs w:val="20"/>
              </w:rPr>
              <w:t>Wzór do obliczenia</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sidRPr="00CC08B0">
              <w:rPr>
                <w:rFonts w:eastAsia="Calibri" w:cs="Arial"/>
                <w:sz w:val="24"/>
                <w:szCs w:val="24"/>
              </w:rPr>
              <w:t>1</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Otwarcie rachunku</w:t>
            </w:r>
            <w:r>
              <w:rPr>
                <w:rFonts w:eastAsia="Calibri" w:cs="Arial"/>
                <w:sz w:val="20"/>
                <w:szCs w:val="20"/>
              </w:rPr>
              <w:t xml:space="preserve"> (jednorazowo)</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2</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1</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1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2</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P</w:t>
            </w:r>
            <w:r w:rsidRPr="00CC08B0">
              <w:rPr>
                <w:rFonts w:eastAsia="Calibri" w:cs="Arial"/>
                <w:sz w:val="20"/>
                <w:szCs w:val="20"/>
              </w:rPr>
              <w:t>rowadzenie rachunku</w:t>
            </w:r>
            <w:r>
              <w:rPr>
                <w:rFonts w:eastAsia="Calibri" w:cs="Arial"/>
                <w:sz w:val="20"/>
                <w:szCs w:val="20"/>
              </w:rPr>
              <w:t xml:space="preserve"> (miesięcznie)</w:t>
            </w:r>
          </w:p>
        </w:tc>
        <w:tc>
          <w:tcPr>
            <w:tcW w:w="2095" w:type="dxa"/>
            <w:vAlign w:val="center"/>
          </w:tcPr>
          <w:p w:rsidR="00FB7574" w:rsidRPr="00CC08B0" w:rsidDel="003D0767" w:rsidRDefault="00FB7574" w:rsidP="00FB7574">
            <w:pPr>
              <w:widowControl/>
              <w:autoSpaceDE/>
              <w:autoSpaceDN/>
              <w:spacing w:before="120" w:after="120"/>
              <w:jc w:val="center"/>
              <w:rPr>
                <w:rFonts w:eastAsia="Calibri" w:cs="Arial"/>
                <w:sz w:val="20"/>
                <w:szCs w:val="20"/>
              </w:rPr>
            </w:pPr>
            <w:r>
              <w:rPr>
                <w:rFonts w:eastAsia="Calibri" w:cs="Arial"/>
                <w:sz w:val="20"/>
                <w:szCs w:val="20"/>
              </w:rPr>
              <w:t>8%</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2</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2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3</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 xml:space="preserve">Przelew </w:t>
            </w:r>
            <w:proofErr w:type="spellStart"/>
            <w:r w:rsidRPr="00CC08B0">
              <w:rPr>
                <w:rFonts w:eastAsia="Calibri" w:cs="Arial"/>
                <w:sz w:val="20"/>
                <w:szCs w:val="20"/>
              </w:rPr>
              <w:t>elixir</w:t>
            </w:r>
            <w:proofErr w:type="spellEnd"/>
            <w:r w:rsidRPr="00CC08B0">
              <w:rPr>
                <w:rFonts w:eastAsia="Calibri" w:cs="Arial"/>
                <w:sz w:val="20"/>
                <w:szCs w:val="20"/>
              </w:rPr>
              <w:t xml:space="preserve">, </w:t>
            </w:r>
            <w:r>
              <w:rPr>
                <w:rFonts w:eastAsia="Calibri" w:cs="Arial"/>
                <w:sz w:val="20"/>
                <w:szCs w:val="20"/>
              </w:rPr>
              <w:t xml:space="preserve"> ( 1 szt.)</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1</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3</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3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4</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 xml:space="preserve">Przelew express </w:t>
            </w:r>
            <w:proofErr w:type="spellStart"/>
            <w:r>
              <w:rPr>
                <w:rFonts w:eastAsia="Calibri" w:cs="Arial"/>
                <w:sz w:val="20"/>
                <w:szCs w:val="20"/>
              </w:rPr>
              <w:t>elixir</w:t>
            </w:r>
            <w:proofErr w:type="spellEnd"/>
            <w:r>
              <w:rPr>
                <w:rFonts w:eastAsia="Calibri" w:cs="Arial"/>
                <w:sz w:val="20"/>
                <w:szCs w:val="20"/>
              </w:rPr>
              <w:t xml:space="preserve"> (1 szt.)</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1%</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4</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4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5</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 xml:space="preserve">Przelew </w:t>
            </w:r>
            <w:proofErr w:type="spellStart"/>
            <w:r>
              <w:rPr>
                <w:rFonts w:eastAsia="Calibri" w:cs="Arial"/>
                <w:sz w:val="20"/>
                <w:szCs w:val="20"/>
              </w:rPr>
              <w:t>sorbnet</w:t>
            </w:r>
            <w:proofErr w:type="spellEnd"/>
            <w:r>
              <w:rPr>
                <w:rFonts w:eastAsia="Calibri" w:cs="Arial"/>
                <w:sz w:val="20"/>
                <w:szCs w:val="20"/>
              </w:rPr>
              <w:t xml:space="preserve"> (1 szt.)</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3%</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5</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5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6</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Utrzymanie wysokiego salda w PLN</w:t>
            </w:r>
            <w:r>
              <w:rPr>
                <w:rFonts w:eastAsia="Calibri" w:cs="Arial"/>
                <w:sz w:val="20"/>
                <w:szCs w:val="20"/>
              </w:rPr>
              <w:t xml:space="preserve"> (miesięcznie)</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25</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6</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6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7</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Utrzymanie wysokiego salda w PLN</w:t>
            </w:r>
            <w:r>
              <w:rPr>
                <w:rFonts w:eastAsia="Calibri" w:cs="Arial"/>
                <w:sz w:val="20"/>
                <w:szCs w:val="20"/>
              </w:rPr>
              <w:t xml:space="preserve"> –(rocznie )</w:t>
            </w:r>
          </w:p>
        </w:tc>
        <w:tc>
          <w:tcPr>
            <w:tcW w:w="2095" w:type="dxa"/>
            <w:vAlign w:val="center"/>
          </w:tcPr>
          <w:p w:rsidR="00FB7574" w:rsidRPr="00CC08B0" w:rsidRDefault="00B777D5" w:rsidP="00FB7574">
            <w:pPr>
              <w:widowControl/>
              <w:autoSpaceDE/>
              <w:autoSpaceDN/>
              <w:spacing w:before="120" w:after="120"/>
              <w:jc w:val="center"/>
              <w:rPr>
                <w:rFonts w:eastAsia="Calibri" w:cs="Arial"/>
                <w:sz w:val="20"/>
                <w:szCs w:val="20"/>
              </w:rPr>
            </w:pPr>
            <w:r>
              <w:rPr>
                <w:rFonts w:eastAsia="Calibri" w:cs="Arial"/>
                <w:sz w:val="20"/>
                <w:szCs w:val="20"/>
              </w:rPr>
              <w:t>25</w:t>
            </w:r>
            <w:r w:rsidR="00FB7574"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7</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7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8</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Bankowość elektroniczna</w:t>
            </w:r>
            <w:r>
              <w:rPr>
                <w:rFonts w:eastAsia="Calibri" w:cs="Arial"/>
                <w:sz w:val="20"/>
                <w:szCs w:val="20"/>
              </w:rPr>
              <w:t xml:space="preserve"> ( miesięcznie)</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12</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8</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8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9</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 xml:space="preserve">Zaświadczenie </w:t>
            </w:r>
            <w:r>
              <w:rPr>
                <w:rFonts w:eastAsia="Calibri" w:cs="Arial"/>
                <w:sz w:val="20"/>
                <w:szCs w:val="20"/>
              </w:rPr>
              <w:t xml:space="preserve"> (1szt.)</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1</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9</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9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Del="003D0767" w:rsidRDefault="00FB7574" w:rsidP="00FB7574">
            <w:pPr>
              <w:widowControl/>
              <w:autoSpaceDE/>
              <w:autoSpaceDN/>
              <w:spacing w:before="120" w:after="120"/>
              <w:jc w:val="center"/>
              <w:rPr>
                <w:rFonts w:eastAsia="Calibri" w:cs="Arial"/>
                <w:sz w:val="24"/>
                <w:szCs w:val="24"/>
              </w:rPr>
            </w:pPr>
            <w:r>
              <w:rPr>
                <w:rFonts w:eastAsia="Calibri" w:cs="Arial"/>
                <w:sz w:val="24"/>
                <w:szCs w:val="24"/>
              </w:rPr>
              <w:t>10</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O</w:t>
            </w:r>
            <w:r w:rsidRPr="00CC08B0">
              <w:rPr>
                <w:rFonts w:eastAsia="Calibri" w:cs="Arial"/>
                <w:sz w:val="20"/>
                <w:szCs w:val="20"/>
              </w:rPr>
              <w:t>pinia bankowa</w:t>
            </w:r>
            <w:r>
              <w:rPr>
                <w:rFonts w:eastAsia="Calibri" w:cs="Arial"/>
                <w:sz w:val="20"/>
                <w:szCs w:val="20"/>
              </w:rPr>
              <w:t xml:space="preserve"> (1 szt.)</w:t>
            </w:r>
          </w:p>
        </w:tc>
        <w:tc>
          <w:tcPr>
            <w:tcW w:w="2095" w:type="dxa"/>
            <w:vAlign w:val="center"/>
          </w:tcPr>
          <w:p w:rsidR="00FB7574" w:rsidRPr="00CC08B0" w:rsidDel="003D0767" w:rsidRDefault="00FB7574" w:rsidP="00FB7574">
            <w:pPr>
              <w:widowControl/>
              <w:autoSpaceDE/>
              <w:autoSpaceDN/>
              <w:spacing w:before="120" w:after="120"/>
              <w:jc w:val="center"/>
              <w:rPr>
                <w:rFonts w:eastAsia="Calibri" w:cs="Arial"/>
                <w:sz w:val="20"/>
                <w:szCs w:val="20"/>
              </w:rPr>
            </w:pPr>
            <w:r>
              <w:rPr>
                <w:rFonts w:eastAsia="Calibri" w:cs="Arial"/>
                <w:sz w:val="20"/>
                <w:szCs w:val="20"/>
              </w:rPr>
              <w:t>4%</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10</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10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11</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Lokata O/N (usługa</w:t>
            </w:r>
            <w:r>
              <w:rPr>
                <w:rFonts w:eastAsia="Calibri" w:cs="Arial"/>
                <w:sz w:val="20"/>
                <w:szCs w:val="20"/>
              </w:rPr>
              <w:t xml:space="preserve"> - miesięcznie</w:t>
            </w:r>
            <w:r w:rsidRPr="00CC08B0">
              <w:rPr>
                <w:rFonts w:eastAsia="Calibri" w:cs="Arial"/>
                <w:sz w:val="20"/>
                <w:szCs w:val="20"/>
              </w:rPr>
              <w:t>)</w:t>
            </w:r>
            <w:r>
              <w:rPr>
                <w:rFonts w:eastAsia="Calibri" w:cs="Arial"/>
                <w:sz w:val="20"/>
                <w:szCs w:val="20"/>
              </w:rPr>
              <w:t xml:space="preserve"> </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Pr>
                <w:rFonts w:eastAsia="Calibri" w:cs="Arial"/>
                <w:sz w:val="20"/>
                <w:szCs w:val="20"/>
              </w:rPr>
              <w:t>5</w:t>
            </w:r>
            <w:r w:rsidRPr="00CC08B0">
              <w:rPr>
                <w:rFonts w:eastAsia="Calibri" w:cs="Arial"/>
                <w:sz w:val="20"/>
                <w:szCs w:val="20"/>
              </w:rPr>
              <w:t>%</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11</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11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750" w:type="dxa"/>
            <w:vAlign w:val="center"/>
          </w:tcPr>
          <w:p w:rsidR="00FB7574" w:rsidRPr="00CC08B0" w:rsidRDefault="00FB7574" w:rsidP="00FB7574">
            <w:pPr>
              <w:widowControl/>
              <w:autoSpaceDE/>
              <w:autoSpaceDN/>
              <w:spacing w:before="120" w:after="120"/>
              <w:jc w:val="center"/>
              <w:rPr>
                <w:rFonts w:eastAsia="Calibri" w:cs="Arial"/>
                <w:sz w:val="24"/>
                <w:szCs w:val="24"/>
              </w:rPr>
            </w:pPr>
            <w:r>
              <w:rPr>
                <w:rFonts w:eastAsia="Calibri" w:cs="Arial"/>
                <w:sz w:val="24"/>
                <w:szCs w:val="24"/>
              </w:rPr>
              <w:t>12</w:t>
            </w:r>
          </w:p>
        </w:tc>
        <w:tc>
          <w:tcPr>
            <w:tcW w:w="417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Narzędzia aut</w:t>
            </w:r>
            <w:r>
              <w:rPr>
                <w:rFonts w:eastAsia="Calibri" w:cs="Arial"/>
                <w:sz w:val="20"/>
                <w:szCs w:val="20"/>
              </w:rPr>
              <w:t>oryzacyjne do bankowości elektronicznej (miesięcznie)</w:t>
            </w:r>
          </w:p>
        </w:tc>
        <w:tc>
          <w:tcPr>
            <w:tcW w:w="2095"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3%</w:t>
            </w:r>
          </w:p>
        </w:tc>
        <w:tc>
          <w:tcPr>
            <w:tcW w:w="2658" w:type="dxa"/>
            <w:vAlign w:val="center"/>
          </w:tcPr>
          <w:p w:rsidR="00FB7574" w:rsidRPr="00CC08B0" w:rsidRDefault="00FB7574" w:rsidP="00FB7574">
            <w:pPr>
              <w:widowControl/>
              <w:autoSpaceDE/>
              <w:autoSpaceDN/>
              <w:spacing w:before="120" w:after="120"/>
              <w:jc w:val="center"/>
              <w:rPr>
                <w:rFonts w:eastAsia="Calibri" w:cs="Arial"/>
                <w:sz w:val="20"/>
                <w:szCs w:val="20"/>
              </w:rPr>
            </w:pPr>
            <w:r w:rsidRPr="00CC08B0">
              <w:rPr>
                <w:rFonts w:eastAsia="Calibri" w:cs="Arial"/>
                <w:sz w:val="20"/>
                <w:szCs w:val="20"/>
              </w:rPr>
              <w:t>C</w:t>
            </w:r>
            <w:r>
              <w:rPr>
                <w:rFonts w:eastAsia="Calibri" w:cs="Arial"/>
                <w:sz w:val="20"/>
                <w:szCs w:val="20"/>
              </w:rPr>
              <w:t>12</w:t>
            </w:r>
            <w:r w:rsidRPr="00CC08B0">
              <w:rPr>
                <w:rFonts w:eastAsia="Calibri" w:cs="Arial"/>
                <w:sz w:val="20"/>
                <w:szCs w:val="20"/>
              </w:rPr>
              <w:t>=</w:t>
            </w:r>
            <w:proofErr w:type="spellStart"/>
            <w:r w:rsidRPr="00CC08B0">
              <w:rPr>
                <w:rFonts w:eastAsia="Calibri" w:cs="Arial"/>
                <w:sz w:val="20"/>
                <w:szCs w:val="20"/>
              </w:rPr>
              <w:t>Cn</w:t>
            </w:r>
            <w:proofErr w:type="spellEnd"/>
            <w:r w:rsidRPr="00CC08B0">
              <w:rPr>
                <w:rFonts w:eastAsia="Calibri" w:cs="Arial"/>
                <w:sz w:val="20"/>
                <w:szCs w:val="20"/>
              </w:rPr>
              <w:t>/Co</w:t>
            </w:r>
            <w:r>
              <w:rPr>
                <w:rFonts w:eastAsia="Calibri" w:cs="Arial"/>
                <w:sz w:val="20"/>
                <w:szCs w:val="20"/>
              </w:rPr>
              <w:t xml:space="preserve">12 </w:t>
            </w:r>
            <w:r w:rsidRPr="00CC08B0">
              <w:rPr>
                <w:rFonts w:eastAsia="Calibri" w:cs="Arial"/>
                <w:sz w:val="20"/>
                <w:szCs w:val="20"/>
              </w:rPr>
              <w:t>*</w:t>
            </w:r>
            <w:r>
              <w:rPr>
                <w:rFonts w:eastAsia="Calibri" w:cs="Arial"/>
                <w:sz w:val="20"/>
                <w:szCs w:val="20"/>
              </w:rPr>
              <w:t>z</w:t>
            </w:r>
          </w:p>
        </w:tc>
      </w:tr>
      <w:tr w:rsidR="00FB7574" w:rsidRPr="00CC08B0" w:rsidTr="00FB7574">
        <w:trPr>
          <w:jc w:val="center"/>
        </w:trPr>
        <w:tc>
          <w:tcPr>
            <w:tcW w:w="4925" w:type="dxa"/>
            <w:gridSpan w:val="2"/>
            <w:vAlign w:val="center"/>
          </w:tcPr>
          <w:p w:rsidR="00FB7574" w:rsidRPr="00C12AA2" w:rsidRDefault="00FB7574" w:rsidP="00FB7574">
            <w:pPr>
              <w:widowControl/>
              <w:autoSpaceDE/>
              <w:autoSpaceDN/>
              <w:spacing w:before="120" w:after="120"/>
              <w:jc w:val="center"/>
              <w:rPr>
                <w:rFonts w:eastAsia="Calibri" w:cs="Arial"/>
                <w:b/>
                <w:sz w:val="20"/>
                <w:szCs w:val="20"/>
              </w:rPr>
            </w:pPr>
            <w:r w:rsidRPr="00C12AA2">
              <w:rPr>
                <w:rFonts w:eastAsia="Calibri" w:cs="Arial"/>
                <w:b/>
                <w:sz w:val="20"/>
                <w:szCs w:val="20"/>
              </w:rPr>
              <w:t>Łącznie</w:t>
            </w:r>
          </w:p>
        </w:tc>
        <w:tc>
          <w:tcPr>
            <w:tcW w:w="2095" w:type="dxa"/>
            <w:vAlign w:val="center"/>
          </w:tcPr>
          <w:p w:rsidR="00FB7574" w:rsidRPr="00C12AA2" w:rsidRDefault="00FB7574" w:rsidP="00FB7574">
            <w:pPr>
              <w:widowControl/>
              <w:autoSpaceDE/>
              <w:autoSpaceDN/>
              <w:spacing w:before="120" w:after="120"/>
              <w:jc w:val="center"/>
              <w:rPr>
                <w:rFonts w:eastAsia="Calibri" w:cs="Arial"/>
                <w:b/>
                <w:sz w:val="20"/>
                <w:szCs w:val="20"/>
              </w:rPr>
            </w:pPr>
            <w:r>
              <w:rPr>
                <w:rFonts w:eastAsia="Calibri" w:cs="Arial"/>
                <w:b/>
                <w:sz w:val="20"/>
                <w:szCs w:val="20"/>
              </w:rPr>
              <w:t>9</w:t>
            </w:r>
            <w:r w:rsidRPr="00C12AA2">
              <w:rPr>
                <w:rFonts w:eastAsia="Calibri" w:cs="Arial"/>
                <w:b/>
                <w:sz w:val="20"/>
                <w:szCs w:val="20"/>
              </w:rPr>
              <w:t>0%</w:t>
            </w:r>
          </w:p>
        </w:tc>
        <w:tc>
          <w:tcPr>
            <w:tcW w:w="2658" w:type="dxa"/>
            <w:vAlign w:val="center"/>
          </w:tcPr>
          <w:p w:rsidR="00FB7574" w:rsidRPr="00C12AA2" w:rsidRDefault="00FB7574" w:rsidP="00FB7574">
            <w:pPr>
              <w:widowControl/>
              <w:autoSpaceDE/>
              <w:autoSpaceDN/>
              <w:spacing w:before="120" w:after="120"/>
              <w:jc w:val="center"/>
              <w:rPr>
                <w:rFonts w:eastAsia="Calibri" w:cs="Arial"/>
                <w:b/>
                <w:sz w:val="20"/>
                <w:szCs w:val="20"/>
              </w:rPr>
            </w:pPr>
            <w:proofErr w:type="spellStart"/>
            <w:r>
              <w:rPr>
                <w:rFonts w:eastAsia="Calibri" w:cs="Arial"/>
                <w:b/>
                <w:sz w:val="20"/>
                <w:szCs w:val="20"/>
              </w:rPr>
              <w:t>Kc</w:t>
            </w:r>
            <w:proofErr w:type="spellEnd"/>
            <w:r w:rsidRPr="00C12AA2">
              <w:rPr>
                <w:rFonts w:eastAsia="Calibri" w:cs="Arial"/>
                <w:b/>
                <w:sz w:val="20"/>
                <w:szCs w:val="20"/>
              </w:rPr>
              <w:t xml:space="preserve"> = Ʃ (C1 ÷ C</w:t>
            </w:r>
            <w:r>
              <w:rPr>
                <w:rFonts w:eastAsia="Calibri" w:cs="Arial"/>
                <w:b/>
                <w:sz w:val="20"/>
                <w:szCs w:val="20"/>
              </w:rPr>
              <w:t>12</w:t>
            </w:r>
            <w:r w:rsidRPr="00C12AA2">
              <w:rPr>
                <w:rFonts w:eastAsia="Calibri" w:cs="Arial"/>
                <w:b/>
                <w:sz w:val="20"/>
                <w:szCs w:val="20"/>
              </w:rPr>
              <w:t>)</w:t>
            </w:r>
          </w:p>
        </w:tc>
      </w:tr>
    </w:tbl>
    <w:p w:rsidR="00FB7574" w:rsidRDefault="00FB7574" w:rsidP="00F727A8">
      <w:pPr>
        <w:ind w:left="567"/>
      </w:pPr>
    </w:p>
    <w:p w:rsidR="00FB7574" w:rsidRDefault="00FB7574" w:rsidP="00F727A8">
      <w:pPr>
        <w:ind w:left="567"/>
      </w:pPr>
    </w:p>
    <w:p w:rsidR="00CD2D81" w:rsidRDefault="00F727A8" w:rsidP="00F727A8">
      <w:pPr>
        <w:ind w:left="567"/>
      </w:pPr>
      <w:r w:rsidRPr="00F727A8">
        <w:t xml:space="preserve">gdzie </w:t>
      </w:r>
      <w:r w:rsidRPr="00003186">
        <w:rPr>
          <w:b/>
        </w:rPr>
        <w:t>dla poszczególnych cen (1</w:t>
      </w:r>
      <w:r w:rsidR="00B910E2" w:rsidRPr="00003186">
        <w:rPr>
          <w:rFonts w:cs="Arial"/>
          <w:b/>
        </w:rPr>
        <w:t>÷</w:t>
      </w:r>
      <w:r w:rsidR="00FB7574" w:rsidRPr="00003186">
        <w:rPr>
          <w:b/>
        </w:rPr>
        <w:t>12</w:t>
      </w:r>
      <w:r w:rsidRPr="00003186">
        <w:rPr>
          <w:b/>
        </w:rPr>
        <w:t>)</w:t>
      </w:r>
      <w:r w:rsidRPr="00F727A8">
        <w:t xml:space="preserve"> przyjęto odpowiednio</w:t>
      </w:r>
    </w:p>
    <w:p w:rsidR="00105ABA" w:rsidRPr="00105ABA" w:rsidRDefault="007F0E50" w:rsidP="00105ABA">
      <w:pPr>
        <w:ind w:left="1276"/>
        <w:rPr>
          <w:b/>
        </w:rPr>
      </w:pPr>
      <w:proofErr w:type="spellStart"/>
      <w:r>
        <w:rPr>
          <w:b/>
        </w:rPr>
        <w:t>Kc</w:t>
      </w:r>
      <w:proofErr w:type="spellEnd"/>
      <w:r w:rsidR="00105ABA">
        <w:rPr>
          <w:b/>
        </w:rPr>
        <w:tab/>
      </w:r>
      <w:r w:rsidR="00105ABA" w:rsidRPr="00105ABA">
        <w:rPr>
          <w:b/>
        </w:rPr>
        <w:t xml:space="preserve">– </w:t>
      </w:r>
      <w:r w:rsidR="00105ABA">
        <w:rPr>
          <w:b/>
        </w:rPr>
        <w:t xml:space="preserve">łączna </w:t>
      </w:r>
      <w:r w:rsidR="00105ABA" w:rsidRPr="00105ABA">
        <w:rPr>
          <w:b/>
        </w:rPr>
        <w:t>liczba punktów uzyskanych w kryterium cena oferty brutto</w:t>
      </w:r>
    </w:p>
    <w:p w:rsidR="00105ABA" w:rsidRPr="00105ABA" w:rsidRDefault="00105ABA" w:rsidP="00105ABA">
      <w:pPr>
        <w:ind w:left="1276"/>
      </w:pPr>
      <w:proofErr w:type="spellStart"/>
      <w:r w:rsidRPr="00105ABA">
        <w:t>Cn</w:t>
      </w:r>
      <w:proofErr w:type="spellEnd"/>
      <w:r>
        <w:tab/>
      </w:r>
      <w:r w:rsidRPr="00105ABA">
        <w:t>– cena brutto najtańszej oferty</w:t>
      </w:r>
    </w:p>
    <w:p w:rsidR="00105ABA" w:rsidRPr="00105ABA" w:rsidRDefault="00105ABA" w:rsidP="00105ABA">
      <w:pPr>
        <w:ind w:left="1276"/>
      </w:pPr>
      <w:r w:rsidRPr="00105ABA">
        <w:t>Co</w:t>
      </w:r>
      <w:r>
        <w:tab/>
      </w:r>
      <w:r w:rsidRPr="00105ABA">
        <w:t>– cena brutto ocenianej oferty</w:t>
      </w:r>
    </w:p>
    <w:p w:rsidR="00105ABA" w:rsidRPr="00105ABA" w:rsidRDefault="001048C7" w:rsidP="00105ABA">
      <w:pPr>
        <w:ind w:left="1276"/>
      </w:pPr>
      <w:r>
        <w:t>z</w:t>
      </w:r>
      <w:r>
        <w:tab/>
      </w:r>
      <w:r w:rsidR="00105ABA">
        <w:tab/>
      </w:r>
      <w:r w:rsidR="00105ABA" w:rsidRPr="00105ABA">
        <w:t>– waga elementu kalkulacji</w:t>
      </w:r>
    </w:p>
    <w:p w:rsidR="00BB6ED0" w:rsidRDefault="00BB6ED0" w:rsidP="00CD2D81"/>
    <w:p w:rsidR="00BB6ED0" w:rsidRPr="00C75899" w:rsidRDefault="00C75899" w:rsidP="00142B2B">
      <w:pPr>
        <w:pStyle w:val="Akapitzlist"/>
        <w:numPr>
          <w:ilvl w:val="0"/>
          <w:numId w:val="38"/>
        </w:numPr>
      </w:pPr>
      <w:r w:rsidRPr="00C75899">
        <w:rPr>
          <w:b/>
          <w:u w:val="single"/>
        </w:rPr>
        <w:t xml:space="preserve">Kryterium </w:t>
      </w:r>
      <w:r w:rsidR="00CB060A">
        <w:rPr>
          <w:b/>
          <w:u w:val="single"/>
        </w:rPr>
        <w:t>oprocentowania</w:t>
      </w:r>
      <w:r w:rsidRPr="00C75899">
        <w:rPr>
          <w:b/>
          <w:u w:val="single"/>
        </w:rPr>
        <w:t xml:space="preserve"> </w:t>
      </w:r>
      <w:r w:rsidR="00CB060A" w:rsidRPr="00CB060A">
        <w:rPr>
          <w:b/>
          <w:u w:val="single"/>
        </w:rPr>
        <w:t>lokat</w:t>
      </w:r>
      <w:r w:rsidR="00FB7574">
        <w:rPr>
          <w:b/>
          <w:u w:val="single"/>
        </w:rPr>
        <w:t>y</w:t>
      </w:r>
      <w:r w:rsidR="00CB060A" w:rsidRPr="00CB060A">
        <w:rPr>
          <w:b/>
          <w:u w:val="single"/>
        </w:rPr>
        <w:t xml:space="preserve"> terminow</w:t>
      </w:r>
      <w:r w:rsidR="00FB7574">
        <w:rPr>
          <w:b/>
          <w:u w:val="single"/>
        </w:rPr>
        <w:t>ej 1M</w:t>
      </w:r>
      <w:r w:rsidR="00CB060A" w:rsidRPr="00CB060A">
        <w:rPr>
          <w:b/>
          <w:u w:val="single"/>
        </w:rPr>
        <w:t xml:space="preserve"> </w:t>
      </w:r>
      <w:r w:rsidRPr="00C75899">
        <w:rPr>
          <w:b/>
          <w:u w:val="single"/>
        </w:rPr>
        <w:t>(K</w:t>
      </w:r>
      <w:r w:rsidR="00CB060A">
        <w:rPr>
          <w:b/>
          <w:u w:val="single"/>
        </w:rPr>
        <w:t>o</w:t>
      </w:r>
      <w:r w:rsidRPr="00C75899">
        <w:rPr>
          <w:b/>
          <w:u w:val="single"/>
        </w:rPr>
        <w:t>)</w:t>
      </w:r>
    </w:p>
    <w:p w:rsidR="00C75899" w:rsidRDefault="00C75899" w:rsidP="00C75899">
      <w:pPr>
        <w:ind w:left="786"/>
      </w:pPr>
    </w:p>
    <w:tbl>
      <w:tblPr>
        <w:tblStyle w:val="Tabela-Siatka3"/>
        <w:tblW w:w="0" w:type="auto"/>
        <w:jc w:val="center"/>
        <w:tblInd w:w="0" w:type="dxa"/>
        <w:tblLook w:val="04A0" w:firstRow="1" w:lastRow="0" w:firstColumn="1" w:lastColumn="0" w:noHBand="0" w:noVBand="1"/>
      </w:tblPr>
      <w:tblGrid>
        <w:gridCol w:w="607"/>
        <w:gridCol w:w="2463"/>
        <w:gridCol w:w="2073"/>
        <w:gridCol w:w="2552"/>
      </w:tblGrid>
      <w:tr w:rsidR="003132B5" w:rsidRPr="00CD2D81" w:rsidTr="008D1449">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FF3F7B" w:rsidP="00FF3F7B">
            <w:pPr>
              <w:widowControl/>
              <w:autoSpaceDE/>
              <w:autoSpaceDN/>
              <w:spacing w:before="120" w:after="120"/>
              <w:jc w:val="center"/>
              <w:rPr>
                <w:rFonts w:eastAsia="Calibri" w:cs="Arial"/>
                <w:b/>
                <w:sz w:val="20"/>
                <w:szCs w:val="20"/>
              </w:rPr>
            </w:pPr>
            <w:r>
              <w:rPr>
                <w:rFonts w:eastAsia="Calibri" w:cs="Arial"/>
                <w:b/>
                <w:sz w:val="20"/>
                <w:szCs w:val="20"/>
              </w:rPr>
              <w:t>L</w:t>
            </w:r>
            <w:r w:rsidR="003132B5" w:rsidRPr="00CD2D81">
              <w:rPr>
                <w:rFonts w:eastAsia="Calibri" w:cs="Arial"/>
                <w:b/>
                <w:sz w:val="20"/>
                <w:szCs w:val="20"/>
              </w:rPr>
              <w:t>.p</w:t>
            </w:r>
            <w:r>
              <w:rPr>
                <w:rFonts w:eastAsia="Calibri" w:cs="Arial"/>
                <w:b/>
                <w:sz w:val="20"/>
                <w:szCs w:val="20"/>
              </w:rPr>
              <w:t>.</w:t>
            </w:r>
          </w:p>
        </w:tc>
        <w:tc>
          <w:tcPr>
            <w:tcW w:w="2463"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3132B5" w:rsidP="00CD2D81">
            <w:pPr>
              <w:widowControl/>
              <w:autoSpaceDE/>
              <w:autoSpaceDN/>
              <w:spacing w:before="120" w:after="120"/>
              <w:jc w:val="center"/>
              <w:rPr>
                <w:rFonts w:eastAsia="Calibri" w:cs="Arial"/>
                <w:b/>
                <w:sz w:val="20"/>
                <w:szCs w:val="20"/>
              </w:rPr>
            </w:pPr>
            <w:r w:rsidRPr="00CD2D81">
              <w:rPr>
                <w:rFonts w:eastAsia="Calibri" w:cs="Arial"/>
                <w:b/>
                <w:sz w:val="20"/>
                <w:szCs w:val="20"/>
              </w:rPr>
              <w:t>Rodzaj usługi</w:t>
            </w:r>
          </w:p>
        </w:tc>
        <w:tc>
          <w:tcPr>
            <w:tcW w:w="2073" w:type="dxa"/>
            <w:tcBorders>
              <w:top w:val="single" w:sz="4" w:space="0" w:color="auto"/>
              <w:left w:val="single" w:sz="4" w:space="0" w:color="auto"/>
              <w:bottom w:val="single" w:sz="4" w:space="0" w:color="auto"/>
              <w:right w:val="single" w:sz="4" w:space="0" w:color="auto"/>
            </w:tcBorders>
            <w:vAlign w:val="center"/>
            <w:hideMark/>
          </w:tcPr>
          <w:p w:rsidR="001048C7" w:rsidRPr="00CD2D81" w:rsidRDefault="003132B5" w:rsidP="008D1449">
            <w:pPr>
              <w:widowControl/>
              <w:autoSpaceDE/>
              <w:autoSpaceDN/>
              <w:spacing w:before="120" w:after="120"/>
              <w:jc w:val="center"/>
              <w:rPr>
                <w:rFonts w:eastAsia="Calibri" w:cs="Arial"/>
                <w:b/>
                <w:sz w:val="20"/>
                <w:szCs w:val="20"/>
              </w:rPr>
            </w:pPr>
            <w:r w:rsidRPr="00CD2D81">
              <w:rPr>
                <w:rFonts w:eastAsia="Calibri" w:cs="Arial"/>
                <w:b/>
                <w:sz w:val="20"/>
                <w:szCs w:val="20"/>
              </w:rPr>
              <w:t>Waga elementu</w:t>
            </w:r>
            <w:r w:rsidR="008D1449">
              <w:rPr>
                <w:rFonts w:eastAsia="Calibri" w:cs="Arial"/>
                <w:b/>
                <w:sz w:val="20"/>
                <w:szCs w:val="20"/>
              </w:rPr>
              <w:t xml:space="preserve"> </w:t>
            </w:r>
            <w:r w:rsidR="001048C7">
              <w:rPr>
                <w:rFonts w:eastAsia="Calibri" w:cs="Arial"/>
                <w:b/>
                <w:sz w:val="20"/>
                <w:szCs w:val="20"/>
              </w:rPr>
              <w:t>(z)</w:t>
            </w:r>
          </w:p>
        </w:tc>
        <w:tc>
          <w:tcPr>
            <w:tcW w:w="2552"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3132B5" w:rsidP="00CD2D81">
            <w:pPr>
              <w:widowControl/>
              <w:autoSpaceDE/>
              <w:autoSpaceDN/>
              <w:spacing w:before="120" w:after="120"/>
              <w:jc w:val="center"/>
              <w:rPr>
                <w:rFonts w:eastAsia="Calibri" w:cs="Arial"/>
                <w:b/>
                <w:sz w:val="20"/>
                <w:szCs w:val="20"/>
              </w:rPr>
            </w:pPr>
            <w:r w:rsidRPr="00CD2D81">
              <w:rPr>
                <w:rFonts w:eastAsia="Calibri" w:cs="Arial"/>
                <w:b/>
                <w:sz w:val="20"/>
                <w:szCs w:val="20"/>
              </w:rPr>
              <w:t>Wzór do obliczenia</w:t>
            </w:r>
          </w:p>
        </w:tc>
      </w:tr>
      <w:tr w:rsidR="003132B5" w:rsidRPr="00CD2D81" w:rsidTr="008D1449">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3D0767" w:rsidP="00CD2D81">
            <w:pPr>
              <w:widowControl/>
              <w:autoSpaceDE/>
              <w:autoSpaceDN/>
              <w:spacing w:before="120" w:after="120"/>
              <w:jc w:val="center"/>
              <w:rPr>
                <w:rFonts w:eastAsia="Calibri" w:cs="Arial"/>
                <w:sz w:val="20"/>
                <w:szCs w:val="20"/>
              </w:rPr>
            </w:pPr>
            <w:r>
              <w:rPr>
                <w:rFonts w:eastAsia="Calibri" w:cs="Arial"/>
                <w:sz w:val="20"/>
                <w:szCs w:val="20"/>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3132B5" w:rsidP="00FB7574">
            <w:pPr>
              <w:widowControl/>
              <w:autoSpaceDE/>
              <w:autoSpaceDN/>
              <w:spacing w:before="120" w:after="120"/>
              <w:jc w:val="center"/>
              <w:rPr>
                <w:rFonts w:eastAsia="Calibri" w:cs="Arial"/>
                <w:sz w:val="20"/>
                <w:szCs w:val="20"/>
              </w:rPr>
            </w:pPr>
            <w:r w:rsidRPr="00CD2D81">
              <w:rPr>
                <w:rFonts w:eastAsia="Calibri" w:cs="Arial"/>
                <w:sz w:val="20"/>
                <w:szCs w:val="20"/>
              </w:rPr>
              <w:t xml:space="preserve">Lokata </w:t>
            </w:r>
            <w:r w:rsidR="00FB7574">
              <w:rPr>
                <w:rFonts w:eastAsia="Calibri" w:cs="Arial"/>
                <w:sz w:val="20"/>
                <w:szCs w:val="20"/>
              </w:rPr>
              <w:t>1M</w:t>
            </w:r>
          </w:p>
        </w:tc>
        <w:tc>
          <w:tcPr>
            <w:tcW w:w="2073"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3132B5" w:rsidP="00CD2D81">
            <w:pPr>
              <w:widowControl/>
              <w:autoSpaceDE/>
              <w:autoSpaceDN/>
              <w:spacing w:before="120" w:after="120"/>
              <w:jc w:val="center"/>
              <w:rPr>
                <w:rFonts w:eastAsia="Calibri" w:cs="Arial"/>
                <w:sz w:val="20"/>
                <w:szCs w:val="20"/>
              </w:rPr>
            </w:pPr>
            <w:r w:rsidRPr="00CD2D81">
              <w:rPr>
                <w:rFonts w:eastAsia="Calibri" w:cs="Arial"/>
                <w:sz w:val="20"/>
                <w:szCs w:val="20"/>
              </w:rPr>
              <w:t>10</w:t>
            </w:r>
            <w:r>
              <w:rPr>
                <w:rFonts w:eastAsia="Calibri" w:cs="Arial"/>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3132B5" w:rsidRPr="00CD2D81" w:rsidRDefault="00FB7574" w:rsidP="001048C7">
            <w:pPr>
              <w:widowControl/>
              <w:autoSpaceDE/>
              <w:autoSpaceDN/>
              <w:spacing w:before="120" w:after="120"/>
              <w:jc w:val="center"/>
              <w:rPr>
                <w:rFonts w:eastAsia="Calibri" w:cs="Arial"/>
                <w:sz w:val="20"/>
                <w:szCs w:val="20"/>
              </w:rPr>
            </w:pPr>
            <w:r w:rsidRPr="004F28D6">
              <w:rPr>
                <w:rFonts w:eastAsia="Calibri" w:cs="Arial"/>
                <w:b/>
                <w:sz w:val="20"/>
                <w:szCs w:val="20"/>
              </w:rPr>
              <w:t>Ko</w:t>
            </w:r>
            <w:r w:rsidRPr="00CD2D81">
              <w:rPr>
                <w:rFonts w:eastAsia="Calibri" w:cs="Arial"/>
                <w:sz w:val="20"/>
                <w:szCs w:val="20"/>
              </w:rPr>
              <w:t>=</w:t>
            </w:r>
            <w:proofErr w:type="spellStart"/>
            <w:r w:rsidRPr="00CD2D81">
              <w:rPr>
                <w:rFonts w:eastAsia="Calibri" w:cs="Arial"/>
                <w:sz w:val="20"/>
                <w:szCs w:val="20"/>
              </w:rPr>
              <w:t>Oo</w:t>
            </w:r>
            <w:proofErr w:type="spellEnd"/>
            <w:r w:rsidRPr="00CD2D81">
              <w:rPr>
                <w:rFonts w:eastAsia="Calibri" w:cs="Arial"/>
                <w:sz w:val="20"/>
                <w:szCs w:val="20"/>
              </w:rPr>
              <w:t>/On</w:t>
            </w:r>
            <w:r>
              <w:rPr>
                <w:rFonts w:eastAsia="Calibri" w:cs="Arial"/>
                <w:sz w:val="20"/>
                <w:szCs w:val="20"/>
              </w:rPr>
              <w:t xml:space="preserve"> </w:t>
            </w:r>
            <w:r w:rsidRPr="00CD2D81">
              <w:rPr>
                <w:rFonts w:eastAsia="Calibri" w:cs="Arial"/>
                <w:sz w:val="20"/>
                <w:szCs w:val="20"/>
              </w:rPr>
              <w:t>*</w:t>
            </w:r>
            <w:r>
              <w:rPr>
                <w:rFonts w:eastAsia="Calibri" w:cs="Arial"/>
                <w:sz w:val="20"/>
                <w:szCs w:val="20"/>
              </w:rPr>
              <w:t>z</w:t>
            </w:r>
          </w:p>
        </w:tc>
      </w:tr>
    </w:tbl>
    <w:p w:rsidR="00CA791A" w:rsidRPr="00CA791A" w:rsidRDefault="00CA791A" w:rsidP="00CA791A">
      <w:pPr>
        <w:ind w:left="1276"/>
        <w:rPr>
          <w:b/>
        </w:rPr>
      </w:pPr>
      <w:r>
        <w:t>gdzie dla lokat</w:t>
      </w:r>
      <w:r w:rsidR="00B910E2">
        <w:t>y</w:t>
      </w:r>
      <w:r>
        <w:t xml:space="preserve"> przyjęto odpowiednio </w:t>
      </w:r>
    </w:p>
    <w:p w:rsidR="00CA791A" w:rsidRPr="00CA791A" w:rsidRDefault="007F0E50" w:rsidP="00CA791A">
      <w:pPr>
        <w:ind w:left="1996" w:firstLine="164"/>
      </w:pPr>
      <w:r w:rsidRPr="007F0E50">
        <w:rPr>
          <w:b/>
        </w:rPr>
        <w:t>Ko</w:t>
      </w:r>
      <w:r w:rsidR="00CA791A">
        <w:tab/>
      </w:r>
      <w:r w:rsidR="00CA791A" w:rsidRPr="004F28D6">
        <w:rPr>
          <w:b/>
        </w:rPr>
        <w:t>–</w:t>
      </w:r>
      <w:r w:rsidR="004F28D6" w:rsidRPr="004F28D6">
        <w:rPr>
          <w:b/>
        </w:rPr>
        <w:t xml:space="preserve"> </w:t>
      </w:r>
      <w:r w:rsidR="00CA791A" w:rsidRPr="004F28D6">
        <w:rPr>
          <w:b/>
        </w:rPr>
        <w:t>liczba punktów uzyskanych w kryterium oprocentowanie</w:t>
      </w:r>
      <w:r w:rsidR="00CA791A">
        <w:t xml:space="preserve"> </w:t>
      </w:r>
    </w:p>
    <w:p w:rsidR="00CA791A" w:rsidRPr="00CA791A" w:rsidRDefault="00CA791A" w:rsidP="00CA791A">
      <w:pPr>
        <w:ind w:left="1996" w:firstLine="164"/>
      </w:pPr>
      <w:r w:rsidRPr="00CA791A">
        <w:t>On</w:t>
      </w:r>
      <w:r>
        <w:tab/>
      </w:r>
      <w:r w:rsidRPr="00CA791A">
        <w:t xml:space="preserve">– najwyższe </w:t>
      </w:r>
      <w:r w:rsidR="00F038E1">
        <w:t xml:space="preserve">oferowane </w:t>
      </w:r>
      <w:r w:rsidRPr="00CA791A">
        <w:t xml:space="preserve">oprocentowanie </w:t>
      </w:r>
    </w:p>
    <w:p w:rsidR="00CA791A" w:rsidRPr="00CA791A" w:rsidRDefault="00CA791A" w:rsidP="00CA791A">
      <w:pPr>
        <w:ind w:left="1996" w:firstLine="164"/>
      </w:pPr>
      <w:proofErr w:type="spellStart"/>
      <w:r w:rsidRPr="00CA791A">
        <w:t>Oo</w:t>
      </w:r>
      <w:proofErr w:type="spellEnd"/>
      <w:r>
        <w:tab/>
      </w:r>
      <w:r w:rsidRPr="00CA791A">
        <w:t xml:space="preserve">– oprocentowanie ocenianej oferty </w:t>
      </w:r>
    </w:p>
    <w:p w:rsidR="00CA791A" w:rsidRPr="00CA791A" w:rsidRDefault="001048C7" w:rsidP="00CA791A">
      <w:pPr>
        <w:ind w:left="1996" w:firstLine="164"/>
      </w:pPr>
      <w:r>
        <w:t>z</w:t>
      </w:r>
      <w:r w:rsidR="00CA791A">
        <w:tab/>
      </w:r>
      <w:r w:rsidR="00CA791A" w:rsidRPr="00CA791A">
        <w:t>– waga elementu kalkulacji</w:t>
      </w:r>
    </w:p>
    <w:p w:rsidR="00CD2D81" w:rsidRDefault="00B910E2" w:rsidP="00B910E2">
      <w:pPr>
        <w:ind w:left="851"/>
      </w:pPr>
      <w:r>
        <w:t>UWAGA: stawka oprocentowania lokaty terminowej służy jedynie do ustalenia klasyfikacji ofert, a w trakcie realizacji umowy będzie ustalana zgodnie z postanowieniami umowy.</w:t>
      </w:r>
    </w:p>
    <w:p w:rsidR="00804382" w:rsidRPr="002A33E4" w:rsidRDefault="00804382" w:rsidP="00142B2B">
      <w:pPr>
        <w:pStyle w:val="Akapitzlist"/>
        <w:numPr>
          <w:ilvl w:val="0"/>
          <w:numId w:val="25"/>
        </w:numPr>
        <w:ind w:left="426"/>
      </w:pPr>
      <w:r w:rsidRPr="002A33E4">
        <w:t xml:space="preserve">Ocenie będą podlegać wyłącznie oferty </w:t>
      </w:r>
      <w:r w:rsidR="004153C5">
        <w:t>niepodlegające</w:t>
      </w:r>
      <w:r w:rsidRPr="002A33E4">
        <w:t xml:space="preserve"> odrzuceniu.</w:t>
      </w:r>
      <w:bookmarkEnd w:id="313"/>
      <w:bookmarkEnd w:id="314"/>
      <w:r w:rsidRPr="002A33E4">
        <w:t xml:space="preserve"> </w:t>
      </w:r>
    </w:p>
    <w:p w:rsidR="00804382" w:rsidRDefault="00804382" w:rsidP="00142B2B">
      <w:pPr>
        <w:pStyle w:val="Akapitzlist"/>
        <w:numPr>
          <w:ilvl w:val="0"/>
          <w:numId w:val="25"/>
        </w:numPr>
        <w:ind w:left="426"/>
      </w:pPr>
      <w:bookmarkStart w:id="315" w:name="_Toc63264411"/>
      <w:bookmarkStart w:id="316" w:name="_Toc73477145"/>
      <w:r w:rsidRPr="002A33E4">
        <w:t xml:space="preserve">Za najkorzystniejszą zostanie uznana oferta </w:t>
      </w:r>
      <w:r w:rsidR="00635839" w:rsidRPr="00B910E2">
        <w:rPr>
          <w:b/>
        </w:rPr>
        <w:t>która uzyska najwięcej punktów w określonych powyżej kryteriach oceny ofert</w:t>
      </w:r>
      <w:r w:rsidR="00635839">
        <w:t xml:space="preserve">, </w:t>
      </w:r>
      <w:r w:rsidR="00581D36">
        <w:t>przy czym</w:t>
      </w:r>
      <w:r w:rsidR="003D0767">
        <w:t xml:space="preserve">: </w:t>
      </w:r>
      <w:bookmarkEnd w:id="315"/>
      <w:bookmarkEnd w:id="316"/>
    </w:p>
    <w:p w:rsidR="003D0767" w:rsidRPr="00BF4D1F" w:rsidRDefault="003D0767" w:rsidP="00142B2B">
      <w:pPr>
        <w:pStyle w:val="Akapitzlist"/>
        <w:numPr>
          <w:ilvl w:val="1"/>
          <w:numId w:val="25"/>
        </w:numPr>
        <w:ind w:left="993"/>
      </w:pPr>
      <w:r w:rsidRPr="00BF4D1F">
        <w:rPr>
          <w:b/>
          <w:color w:val="FF0000"/>
        </w:rPr>
        <w:t xml:space="preserve">jeżeli jeden z wykonawców uzyska najkorzystniejszą ofertę dla obu części postępowania, to zamawiający na podstawie art. 91 ust. 4 </w:t>
      </w:r>
      <w:proofErr w:type="spellStart"/>
      <w:r w:rsidRPr="00BF4D1F">
        <w:rPr>
          <w:b/>
          <w:color w:val="FF0000"/>
        </w:rPr>
        <w:t>pzp</w:t>
      </w:r>
      <w:proofErr w:type="spellEnd"/>
      <w:r w:rsidRPr="00BF4D1F">
        <w:rPr>
          <w:b/>
          <w:color w:val="FF0000"/>
        </w:rPr>
        <w:t xml:space="preserve"> - dla jednej (pierwszej) części dokona wyboru i udzieli zamówienia temu wykonawcy, natomiast dla drugiej części postępowania zostanie wybrany wykonawca kolejny w klasyfikacji</w:t>
      </w:r>
      <w:r w:rsidRPr="00BF4D1F">
        <w:rPr>
          <w:color w:val="FF0000"/>
        </w:rPr>
        <w:t>,</w:t>
      </w:r>
    </w:p>
    <w:p w:rsidR="003D0767" w:rsidRDefault="003D0767" w:rsidP="003D0767">
      <w:pPr>
        <w:pStyle w:val="Akapitzlist"/>
        <w:ind w:left="993"/>
        <w:rPr>
          <w:b/>
          <w:color w:val="FF0000"/>
        </w:rPr>
      </w:pPr>
      <w:r w:rsidRPr="00BF4D1F">
        <w:rPr>
          <w:b/>
          <w:color w:val="FF0000"/>
        </w:rPr>
        <w:t>lub</w:t>
      </w:r>
    </w:p>
    <w:p w:rsidR="003D0767" w:rsidRPr="00BF4D1F" w:rsidRDefault="003D0767" w:rsidP="00142B2B">
      <w:pPr>
        <w:pStyle w:val="Akapitzlist"/>
        <w:numPr>
          <w:ilvl w:val="1"/>
          <w:numId w:val="25"/>
        </w:numPr>
        <w:ind w:left="993"/>
      </w:pPr>
      <w:r w:rsidRPr="00BF4D1F">
        <w:rPr>
          <w:b/>
          <w:color w:val="FF0000"/>
        </w:rPr>
        <w:t xml:space="preserve">jeżeli dwaj wykonawcy uzyskają taką samą punktację, a ich oferty okażą się najkorzystniejsze, zamawiający na podstawie art. 91 ust. 4 </w:t>
      </w:r>
      <w:proofErr w:type="spellStart"/>
      <w:r w:rsidRPr="00BF4D1F">
        <w:rPr>
          <w:b/>
          <w:color w:val="FF0000"/>
        </w:rPr>
        <w:t>pzp</w:t>
      </w:r>
      <w:proofErr w:type="spellEnd"/>
      <w:r w:rsidRPr="00BF4D1F">
        <w:rPr>
          <w:b/>
          <w:color w:val="FF0000"/>
        </w:rPr>
        <w:t xml:space="preserve"> - dla jednej (pierwszej) części dokona wyboru i udzieli zamówienia jednemu wykonawcy, natomiast dla drugiej części postępowania zostanie wybrany drugi wykonawca,</w:t>
      </w:r>
    </w:p>
    <w:p w:rsidR="00635839" w:rsidRPr="0015039A" w:rsidRDefault="00804382" w:rsidP="00142B2B">
      <w:pPr>
        <w:pStyle w:val="Akapitzlist"/>
        <w:numPr>
          <w:ilvl w:val="0"/>
          <w:numId w:val="25"/>
        </w:numPr>
        <w:ind w:left="426"/>
      </w:pPr>
      <w:bookmarkStart w:id="317" w:name="_Toc63264412"/>
      <w:bookmarkStart w:id="318" w:name="_Toc73477146"/>
      <w:r w:rsidRPr="003D0767">
        <w:t>W sytuacji, gd</w:t>
      </w:r>
      <w:r w:rsidRPr="002865A7">
        <w:t xml:space="preserve">y Zamawiający nie będzie mógł dokonać wyboru najkorzystniejszej oferty ze względu na to, że zostały złożone </w:t>
      </w:r>
      <w:r w:rsidR="00B910E2">
        <w:t xml:space="preserve">więcej niż dwie </w:t>
      </w:r>
      <w:r w:rsidRPr="002865A7">
        <w:t>oferty o takiej samej cenie, wezwie on Wykonawców, którzy złożyli te oferty, do złożenia w terminie określonym przez Zamawiającego ofert dodatkowych</w:t>
      </w:r>
      <w:r w:rsidRPr="003D0767">
        <w:t xml:space="preserve"> zawierających nową cenę. Wykonawcy, składając oferty dodatkowe, nie mogą</w:t>
      </w:r>
      <w:r w:rsidR="00635839" w:rsidRPr="0015039A">
        <w:t xml:space="preserve"> zaoferować:</w:t>
      </w:r>
    </w:p>
    <w:p w:rsidR="00635839" w:rsidRPr="0015039A" w:rsidRDefault="00804382" w:rsidP="00142B2B">
      <w:pPr>
        <w:pStyle w:val="Akapitzlist"/>
        <w:numPr>
          <w:ilvl w:val="0"/>
          <w:numId w:val="39"/>
        </w:numPr>
      </w:pPr>
      <w:r w:rsidRPr="0015039A">
        <w:t>cen wyższych niż zaoferowane w uprzednio złożonych przez nich ofertach</w:t>
      </w:r>
      <w:r w:rsidR="00635839" w:rsidRPr="0015039A">
        <w:t xml:space="preserve">, </w:t>
      </w:r>
    </w:p>
    <w:p w:rsidR="00804382" w:rsidRPr="003D0767" w:rsidRDefault="00635839" w:rsidP="00142B2B">
      <w:pPr>
        <w:pStyle w:val="Akapitzlist"/>
        <w:numPr>
          <w:ilvl w:val="0"/>
          <w:numId w:val="39"/>
        </w:numPr>
      </w:pPr>
      <w:r w:rsidRPr="0015039A">
        <w:t xml:space="preserve">oprocentowania niższego </w:t>
      </w:r>
      <w:r w:rsidR="005D1578" w:rsidRPr="0015039A">
        <w:t>niż zaoferowane w uprzednio złożonych przez nich ofertach</w:t>
      </w:r>
      <w:r w:rsidR="00804382" w:rsidRPr="003D0767">
        <w:t>.</w:t>
      </w:r>
      <w:bookmarkEnd w:id="317"/>
      <w:bookmarkEnd w:id="318"/>
      <w:r w:rsidR="00804382" w:rsidRPr="003D0767">
        <w:t xml:space="preserve"> </w:t>
      </w:r>
    </w:p>
    <w:p w:rsidR="00804382" w:rsidRPr="002A33E4" w:rsidRDefault="00804382" w:rsidP="00142B2B">
      <w:pPr>
        <w:pStyle w:val="Akapitzlist"/>
        <w:numPr>
          <w:ilvl w:val="0"/>
          <w:numId w:val="25"/>
        </w:numPr>
        <w:ind w:left="426"/>
      </w:pPr>
      <w:bookmarkStart w:id="319" w:name="_Toc63264413"/>
      <w:bookmarkStart w:id="320"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19"/>
      <w:bookmarkEnd w:id="320"/>
      <w:r w:rsidRPr="002A33E4">
        <w:t xml:space="preserve"> </w:t>
      </w:r>
    </w:p>
    <w:p w:rsidR="00804382" w:rsidRPr="002A33E4" w:rsidRDefault="00804382" w:rsidP="00142B2B">
      <w:pPr>
        <w:pStyle w:val="Akapitzlist"/>
        <w:numPr>
          <w:ilvl w:val="0"/>
          <w:numId w:val="25"/>
        </w:numPr>
        <w:ind w:left="426"/>
      </w:pPr>
      <w:bookmarkStart w:id="321" w:name="_Toc63264414"/>
      <w:bookmarkStart w:id="322" w:name="_Toc73477148"/>
      <w:r w:rsidRPr="002A33E4">
        <w:t>Zamawiający wybiera najkorzystniejszą ofertę w terminie związania ofertą określonym w SWZ.</w:t>
      </w:r>
      <w:bookmarkEnd w:id="321"/>
      <w:bookmarkEnd w:id="322"/>
      <w:r w:rsidRPr="002A33E4">
        <w:t xml:space="preserve"> </w:t>
      </w:r>
    </w:p>
    <w:p w:rsidR="00804382" w:rsidRPr="002A33E4" w:rsidRDefault="00804382" w:rsidP="00142B2B">
      <w:pPr>
        <w:pStyle w:val="Akapitzlist"/>
        <w:numPr>
          <w:ilvl w:val="0"/>
          <w:numId w:val="25"/>
        </w:numPr>
        <w:ind w:left="426"/>
      </w:pPr>
      <w:bookmarkStart w:id="323" w:name="_Toc63264415"/>
      <w:bookmarkStart w:id="324" w:name="_Toc73477149"/>
      <w:r w:rsidRPr="002A33E4">
        <w:t>Jeżeli termin związania ofertą upłynie przed wyborem najkorzystniejszej oferty, Zamawiający wezwie Wykonawcę, którego oferta otrzymała na</w:t>
      </w:r>
      <w:r w:rsidR="00ED4268">
        <w:t xml:space="preserve">jwyższą ocenę, do wyrażenia, </w:t>
      </w:r>
      <w:r w:rsidR="00271E2B">
        <w:t>w</w:t>
      </w:r>
      <w:r w:rsidR="00ED4268">
        <w:t> </w:t>
      </w:r>
      <w:r w:rsidRPr="002A33E4">
        <w:t>wyznaczonym przez Zamawiającego terminie, pisemnej zgody na wybór jego oferty.</w:t>
      </w:r>
      <w:bookmarkEnd w:id="323"/>
      <w:bookmarkEnd w:id="324"/>
      <w:r w:rsidRPr="002A33E4">
        <w:t xml:space="preserve"> </w:t>
      </w:r>
    </w:p>
    <w:p w:rsidR="00804382" w:rsidRPr="002A33E4" w:rsidRDefault="00804382" w:rsidP="00142B2B">
      <w:pPr>
        <w:pStyle w:val="Akapitzlist"/>
        <w:numPr>
          <w:ilvl w:val="0"/>
          <w:numId w:val="25"/>
        </w:numPr>
        <w:ind w:left="426"/>
      </w:pPr>
      <w:bookmarkStart w:id="325" w:name="_Toc63264416"/>
      <w:bookmarkStart w:id="326" w:name="_Toc73477150"/>
      <w:r w:rsidRPr="002A33E4">
        <w:t xml:space="preserve">W przypadku braku zgody, o której mowa powyżej, oferta podlega odrzuceniu, a Zamawiający </w:t>
      </w:r>
      <w:r w:rsidRPr="002A33E4">
        <w:lastRenderedPageBreak/>
        <w:t>zwraca się o wyrażenie takiej zgody do kolejnego Wykonawcy, którego oferta została najwyżej oceniona, chyba że zachodzą przesłanki do unieważnienia postępowania.</w:t>
      </w:r>
      <w:bookmarkEnd w:id="325"/>
      <w:bookmarkEnd w:id="326"/>
      <w:r w:rsidRPr="002A33E4">
        <w:t xml:space="preserve"> </w:t>
      </w:r>
    </w:p>
    <w:p w:rsidR="00804382" w:rsidRPr="002A33E4" w:rsidRDefault="00804382" w:rsidP="00192C74">
      <w:pPr>
        <w:pStyle w:val="Nagwek2"/>
        <w:ind w:left="709" w:hanging="709"/>
      </w:pPr>
      <w:bookmarkStart w:id="327" w:name="_TOC_250001"/>
      <w:bookmarkStart w:id="328" w:name="_Toc63264417"/>
      <w:bookmarkStart w:id="329" w:name="_Toc73477151"/>
      <w:bookmarkStart w:id="330" w:name="_Toc73477238"/>
      <w:bookmarkStart w:id="331" w:name="_Toc73477525"/>
      <w:bookmarkStart w:id="332" w:name="_Toc73477557"/>
      <w:bookmarkStart w:id="333" w:name="_Toc108419057"/>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27"/>
      <w:r w:rsidRPr="002A33E4">
        <w:t>publicznego</w:t>
      </w:r>
      <w:bookmarkEnd w:id="328"/>
      <w:bookmarkEnd w:id="329"/>
      <w:bookmarkEnd w:id="330"/>
      <w:bookmarkEnd w:id="331"/>
      <w:bookmarkEnd w:id="332"/>
      <w:bookmarkEnd w:id="333"/>
    </w:p>
    <w:p w:rsidR="00804382" w:rsidRPr="007F4FF4" w:rsidRDefault="00804382" w:rsidP="00142B2B">
      <w:pPr>
        <w:pStyle w:val="Akapitzlist"/>
        <w:numPr>
          <w:ilvl w:val="0"/>
          <w:numId w:val="26"/>
        </w:numPr>
        <w:ind w:left="426"/>
      </w:pPr>
      <w:bookmarkStart w:id="334" w:name="_Toc63264418"/>
      <w:bookmarkStart w:id="335"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w:t>
      </w:r>
      <w:r w:rsidR="00ED4268">
        <w:t>(najpóźniej w </w:t>
      </w:r>
      <w:r w:rsidRPr="007F4FF4">
        <w:t>dniu zawarcia umowy)</w:t>
      </w:r>
      <w:bookmarkEnd w:id="334"/>
      <w:bookmarkEnd w:id="335"/>
      <w:r w:rsidR="006D7BB0">
        <w:t xml:space="preserve"> </w:t>
      </w:r>
      <w:r w:rsidR="006D7BB0" w:rsidRPr="002A33E4">
        <w:t xml:space="preserve">do </w:t>
      </w:r>
      <w:r w:rsidR="006D7BB0">
        <w:t>przedstawienia:</w:t>
      </w:r>
    </w:p>
    <w:p w:rsidR="00804382" w:rsidRPr="00154815" w:rsidRDefault="00804382" w:rsidP="0049593C">
      <w:pPr>
        <w:pStyle w:val="Akapitzlist"/>
        <w:numPr>
          <w:ilvl w:val="1"/>
          <w:numId w:val="5"/>
        </w:numPr>
        <w:ind w:left="993"/>
        <w:rPr>
          <w:rFonts w:cs="Arial"/>
        </w:rPr>
      </w:pPr>
      <w:bookmarkStart w:id="336" w:name="_Toc63264421"/>
      <w:bookmarkStart w:id="337" w:name="_Toc73477154"/>
      <w:r w:rsidRPr="00154815">
        <w:rPr>
          <w:rFonts w:cs="Arial"/>
        </w:rPr>
        <w:t xml:space="preserve">osób, skierowanych przez Wykonawcę do realizacji zamówienia publicznego odpowiedzialnych za </w:t>
      </w:r>
      <w:bookmarkEnd w:id="336"/>
      <w:bookmarkEnd w:id="337"/>
      <w:r w:rsidR="002865A7">
        <w:rPr>
          <w:rFonts w:cs="Arial"/>
        </w:rPr>
        <w:t>obsługę umowy np. kontakt z Zamawiającym tj. osoby wykonujące czynności doradcy bankowego,</w:t>
      </w:r>
      <w:r w:rsidR="00F5773C" w:rsidRPr="00F5773C">
        <w:rPr>
          <w:rFonts w:cs="Arial"/>
        </w:rPr>
        <w:t xml:space="preserve"> (</w:t>
      </w:r>
      <w:r w:rsidR="00F5773C">
        <w:rPr>
          <w:rFonts w:cs="Arial"/>
        </w:rPr>
        <w:t xml:space="preserve">w tym m.in. </w:t>
      </w:r>
      <w:r w:rsidR="00F5773C" w:rsidRPr="00F5773C">
        <w:rPr>
          <w:rFonts w:cs="Arial"/>
        </w:rPr>
        <w:t>zawarcie umowy)</w:t>
      </w:r>
    </w:p>
    <w:p w:rsidR="00804382" w:rsidRPr="002A33E4" w:rsidRDefault="00804382" w:rsidP="0049593C">
      <w:pPr>
        <w:pStyle w:val="Akapitzlist"/>
        <w:numPr>
          <w:ilvl w:val="1"/>
          <w:numId w:val="5"/>
        </w:numPr>
        <w:ind w:left="993"/>
        <w:rPr>
          <w:rFonts w:cs="Arial"/>
        </w:rPr>
      </w:pPr>
      <w:bookmarkStart w:id="338" w:name="_Toc63264423"/>
      <w:bookmarkStart w:id="339"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38"/>
      <w:bookmarkEnd w:id="339"/>
    </w:p>
    <w:p w:rsidR="00804382" w:rsidRPr="00155351" w:rsidRDefault="00D869F5" w:rsidP="00142B2B">
      <w:pPr>
        <w:pStyle w:val="Akapitzlist"/>
        <w:numPr>
          <w:ilvl w:val="0"/>
          <w:numId w:val="26"/>
        </w:numPr>
        <w:ind w:left="426"/>
        <w:rPr>
          <w:rFonts w:cs="Arial"/>
        </w:rPr>
      </w:pPr>
      <w:bookmarkStart w:id="340" w:name="_Toc63264424"/>
      <w:bookmarkStart w:id="341" w:name="_Toc73477160"/>
      <w:r>
        <w:rPr>
          <w:rFonts w:cs="Arial"/>
        </w:rPr>
        <w:t>N</w:t>
      </w:r>
      <w:r w:rsidR="00522E3C" w:rsidRPr="00155351">
        <w:rPr>
          <w:rFonts w:cs="Arial"/>
        </w:rPr>
        <w:t>iedostarczenie</w:t>
      </w:r>
      <w:r w:rsidR="00804382" w:rsidRPr="00155351">
        <w:rPr>
          <w:rFonts w:cs="Arial"/>
        </w:rPr>
        <w:t xml:space="preserve"> dokumentów, o </w:t>
      </w:r>
      <w:r w:rsidR="00522E3C" w:rsidRPr="00155351">
        <w:rPr>
          <w:rFonts w:cs="Arial"/>
        </w:rPr>
        <w:t xml:space="preserve">których </w:t>
      </w:r>
      <w:r w:rsidR="00804382" w:rsidRPr="00155351">
        <w:rPr>
          <w:rFonts w:cs="Arial"/>
        </w:rPr>
        <w:t xml:space="preserve">mowa powyżej, także po wezwaniu do usunięcia braków w wyznaczonym terminie, zostanie uznane za uchylenie się od zawarcia umowy w rozumieniu art. 263 </w:t>
      </w:r>
      <w:proofErr w:type="spellStart"/>
      <w:r w:rsidR="00804382" w:rsidRPr="00155351">
        <w:rPr>
          <w:rFonts w:cs="Arial"/>
        </w:rPr>
        <w:t>pzp</w:t>
      </w:r>
      <w:proofErr w:type="spellEnd"/>
      <w:r w:rsidR="00804382" w:rsidRPr="00155351">
        <w:rPr>
          <w:rFonts w:cs="Arial"/>
        </w:rPr>
        <w:t>.</w:t>
      </w:r>
      <w:bookmarkEnd w:id="340"/>
      <w:bookmarkEnd w:id="341"/>
      <w:r w:rsidR="00804382" w:rsidRPr="00155351">
        <w:rPr>
          <w:rFonts w:cs="Arial"/>
        </w:rPr>
        <w:t xml:space="preserve"> </w:t>
      </w:r>
    </w:p>
    <w:p w:rsidR="00804382" w:rsidRPr="002A33E4" w:rsidRDefault="00804382" w:rsidP="00142B2B">
      <w:pPr>
        <w:pStyle w:val="Akapitzlist"/>
        <w:numPr>
          <w:ilvl w:val="0"/>
          <w:numId w:val="26"/>
        </w:numPr>
        <w:ind w:left="426"/>
        <w:rPr>
          <w:rFonts w:cs="Arial"/>
        </w:rPr>
      </w:pPr>
      <w:bookmarkStart w:id="342" w:name="_Toc63264431"/>
      <w:bookmarkStart w:id="343"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42"/>
      <w:bookmarkEnd w:id="343"/>
      <w:r w:rsidRPr="002A33E4">
        <w:rPr>
          <w:rFonts w:cs="Arial"/>
        </w:rPr>
        <w:t xml:space="preserve"> </w:t>
      </w:r>
    </w:p>
    <w:p w:rsidR="00804382" w:rsidRPr="002A33E4" w:rsidRDefault="00804382" w:rsidP="00142B2B">
      <w:pPr>
        <w:pStyle w:val="Akapitzlist"/>
        <w:numPr>
          <w:ilvl w:val="0"/>
          <w:numId w:val="26"/>
        </w:numPr>
        <w:ind w:left="426"/>
        <w:rPr>
          <w:rFonts w:cs="Arial"/>
        </w:rPr>
      </w:pPr>
      <w:bookmarkStart w:id="344" w:name="_Toc63264432"/>
      <w:bookmarkStart w:id="345"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44"/>
      <w:bookmarkEnd w:id="345"/>
      <w:r w:rsidRPr="002A33E4">
        <w:rPr>
          <w:rFonts w:cs="Arial"/>
        </w:rPr>
        <w:t xml:space="preserve"> </w:t>
      </w:r>
    </w:p>
    <w:p w:rsidR="00804382" w:rsidRPr="002A33E4" w:rsidRDefault="00804382" w:rsidP="00142B2B">
      <w:pPr>
        <w:pStyle w:val="Akapitzlist"/>
        <w:numPr>
          <w:ilvl w:val="0"/>
          <w:numId w:val="26"/>
        </w:numPr>
        <w:ind w:left="426"/>
        <w:rPr>
          <w:rFonts w:cs="Arial"/>
        </w:rPr>
      </w:pPr>
      <w:bookmarkStart w:id="346" w:name="_Toc63264433"/>
      <w:bookmarkStart w:id="347" w:name="_Toc73477163"/>
      <w:r w:rsidRPr="002A33E4">
        <w:rPr>
          <w:rFonts w:cs="Arial"/>
        </w:rPr>
        <w:t>Wykonawca, którego oferta została wybrana jako najkorzystniejsza, zostanie poinformowany przez Zamawiającego o miejscu i terminie podpisania umowy.</w:t>
      </w:r>
      <w:bookmarkEnd w:id="346"/>
      <w:bookmarkEnd w:id="347"/>
      <w:r w:rsidRPr="002A33E4">
        <w:rPr>
          <w:rFonts w:cs="Arial"/>
        </w:rPr>
        <w:t xml:space="preserve"> </w:t>
      </w:r>
    </w:p>
    <w:p w:rsidR="00804382" w:rsidRPr="002A33E4" w:rsidRDefault="00804382" w:rsidP="00142B2B">
      <w:pPr>
        <w:pStyle w:val="Akapitzlist"/>
        <w:numPr>
          <w:ilvl w:val="0"/>
          <w:numId w:val="26"/>
        </w:numPr>
        <w:ind w:left="426"/>
        <w:rPr>
          <w:rFonts w:cs="Arial"/>
        </w:rPr>
      </w:pPr>
      <w:bookmarkStart w:id="348" w:name="_Toc63264434"/>
      <w:bookmarkStart w:id="349"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48"/>
      <w:bookmarkEnd w:id="349"/>
      <w:r w:rsidRPr="002A33E4">
        <w:rPr>
          <w:rFonts w:cs="Arial"/>
        </w:rPr>
        <w:t xml:space="preserve"> </w:t>
      </w:r>
    </w:p>
    <w:p w:rsidR="00804382" w:rsidRPr="002A33E4" w:rsidRDefault="00804382" w:rsidP="00142B2B">
      <w:pPr>
        <w:pStyle w:val="Akapitzlist"/>
        <w:numPr>
          <w:ilvl w:val="0"/>
          <w:numId w:val="26"/>
        </w:numPr>
        <w:ind w:left="426"/>
        <w:rPr>
          <w:rFonts w:cs="Arial"/>
        </w:rPr>
      </w:pPr>
      <w:bookmarkStart w:id="350" w:name="_Toc63264435"/>
      <w:bookmarkStart w:id="351"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50"/>
      <w:bookmarkEnd w:id="351"/>
    </w:p>
    <w:p w:rsidR="00712516" w:rsidRPr="006D7BB0" w:rsidRDefault="00712516" w:rsidP="00142B2B">
      <w:pPr>
        <w:pStyle w:val="Akapitzlist"/>
        <w:numPr>
          <w:ilvl w:val="0"/>
          <w:numId w:val="26"/>
        </w:numPr>
        <w:ind w:left="426"/>
        <w:rPr>
          <w:rFonts w:cs="Arial"/>
          <w:b/>
          <w:bCs/>
          <w:u w:val="single"/>
        </w:rPr>
      </w:pPr>
      <w:r w:rsidRPr="006D7BB0">
        <w:rPr>
          <w:rFonts w:cs="Arial"/>
          <w:b/>
          <w:bCs/>
          <w:u w:val="single"/>
        </w:rPr>
        <w:t>Wymagania dotycz</w:t>
      </w:r>
      <w:r w:rsidRPr="006D7BB0">
        <w:rPr>
          <w:rFonts w:eastAsia="TimesNewRoman" w:cs="Arial"/>
          <w:b/>
          <w:bCs/>
          <w:u w:val="single"/>
        </w:rPr>
        <w:t>ą</w:t>
      </w:r>
      <w:r w:rsidRPr="006D7BB0">
        <w:rPr>
          <w:rFonts w:cs="Arial"/>
          <w:b/>
          <w:bCs/>
          <w:u w:val="single"/>
        </w:rPr>
        <w:t>ce zabezpieczenia należytego wykonania umowy</w:t>
      </w:r>
    </w:p>
    <w:p w:rsidR="002865A7" w:rsidRPr="00CB5360" w:rsidRDefault="002865A7" w:rsidP="00154815">
      <w:pPr>
        <w:rPr>
          <w:rFonts w:cs="Arial"/>
        </w:rPr>
      </w:pPr>
      <w:r w:rsidRPr="002865A7">
        <w:rPr>
          <w:rFonts w:cs="Arial"/>
        </w:rPr>
        <w:t>Zamawiający nie wymaga wniesienia zabezpieczenia należytego wykonania umowy.</w:t>
      </w:r>
    </w:p>
    <w:p w:rsidR="00804382" w:rsidRPr="002A33E4" w:rsidRDefault="00804382" w:rsidP="00C97CB7">
      <w:pPr>
        <w:pStyle w:val="Nagwek2"/>
      </w:pPr>
      <w:bookmarkStart w:id="352" w:name="_Toc63264436"/>
      <w:bookmarkStart w:id="353" w:name="_Toc73477166"/>
      <w:bookmarkStart w:id="354" w:name="_Toc73477239"/>
      <w:bookmarkStart w:id="355" w:name="_Toc73477526"/>
      <w:bookmarkStart w:id="356" w:name="_Toc73477558"/>
      <w:bookmarkStart w:id="357" w:name="_Toc108419058"/>
      <w:r w:rsidRPr="002A33E4">
        <w:t>Pouczenie o środkach ochrony prawnej przysługujących</w:t>
      </w:r>
      <w:r w:rsidRPr="002A33E4">
        <w:rPr>
          <w:spacing w:val="-8"/>
        </w:rPr>
        <w:t xml:space="preserve"> </w:t>
      </w:r>
      <w:r w:rsidRPr="002A33E4">
        <w:t>Wykonawcy</w:t>
      </w:r>
      <w:bookmarkEnd w:id="352"/>
      <w:bookmarkEnd w:id="353"/>
      <w:bookmarkEnd w:id="354"/>
      <w:bookmarkEnd w:id="355"/>
      <w:bookmarkEnd w:id="356"/>
      <w:bookmarkEnd w:id="357"/>
    </w:p>
    <w:p w:rsidR="00804382" w:rsidRPr="002A33E4" w:rsidRDefault="00804382" w:rsidP="00142B2B">
      <w:pPr>
        <w:pStyle w:val="Akapitzlist"/>
        <w:numPr>
          <w:ilvl w:val="0"/>
          <w:numId w:val="27"/>
        </w:numPr>
        <w:ind w:left="426"/>
      </w:pPr>
      <w:bookmarkStart w:id="358" w:name="_Toc63264437"/>
      <w:bookmarkStart w:id="359"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58"/>
      <w:bookmarkEnd w:id="359"/>
      <w:r w:rsidRPr="002A33E4">
        <w:t xml:space="preserve"> </w:t>
      </w:r>
    </w:p>
    <w:p w:rsidR="00804382" w:rsidRPr="002A33E4" w:rsidRDefault="00804382" w:rsidP="00142B2B">
      <w:pPr>
        <w:pStyle w:val="Akapitzlist"/>
        <w:numPr>
          <w:ilvl w:val="0"/>
          <w:numId w:val="27"/>
        </w:numPr>
        <w:ind w:left="426"/>
      </w:pPr>
      <w:bookmarkStart w:id="360" w:name="_Toc63264438"/>
      <w:bookmarkStart w:id="361" w:name="_Toc73477168"/>
      <w:r w:rsidRPr="002A33E4">
        <w:t>Odwołanie przysługuje na:</w:t>
      </w:r>
      <w:bookmarkEnd w:id="360"/>
      <w:bookmarkEnd w:id="361"/>
      <w:r w:rsidRPr="002A33E4">
        <w:t xml:space="preserve"> </w:t>
      </w:r>
    </w:p>
    <w:p w:rsidR="00804382" w:rsidRPr="002A33E4" w:rsidRDefault="00804382" w:rsidP="00142B2B">
      <w:pPr>
        <w:pStyle w:val="Akapitzlist"/>
        <w:numPr>
          <w:ilvl w:val="0"/>
          <w:numId w:val="28"/>
        </w:numPr>
      </w:pPr>
      <w:bookmarkStart w:id="362" w:name="_Toc63264439"/>
      <w:bookmarkStart w:id="363" w:name="_Toc73477169"/>
      <w:r w:rsidRPr="002A33E4">
        <w:t>niezgodną z przepisami ustawy czynność Zamawiaj</w:t>
      </w:r>
      <w:r w:rsidR="00ED4268">
        <w:t>ącego, podjętą w postępowaniu o </w:t>
      </w:r>
      <w:r w:rsidRPr="002A33E4">
        <w:t>udzielenie zamówienia, w tym na projektowane postanowienia umowy;</w:t>
      </w:r>
      <w:bookmarkEnd w:id="362"/>
      <w:bookmarkEnd w:id="363"/>
      <w:r w:rsidRPr="002A33E4">
        <w:t xml:space="preserve"> </w:t>
      </w:r>
    </w:p>
    <w:p w:rsidR="00804382" w:rsidRPr="002A33E4" w:rsidRDefault="00804382" w:rsidP="00142B2B">
      <w:pPr>
        <w:pStyle w:val="Akapitzlist"/>
        <w:numPr>
          <w:ilvl w:val="0"/>
          <w:numId w:val="28"/>
        </w:numPr>
      </w:pPr>
      <w:bookmarkStart w:id="364" w:name="_Toc63264440"/>
      <w:bookmarkStart w:id="365"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64"/>
      <w:bookmarkEnd w:id="365"/>
      <w:r w:rsidRPr="002A33E4">
        <w:t xml:space="preserve"> </w:t>
      </w:r>
    </w:p>
    <w:p w:rsidR="00804382" w:rsidRPr="002A33E4" w:rsidRDefault="00804382" w:rsidP="00142B2B">
      <w:pPr>
        <w:pStyle w:val="Akapitzlist"/>
        <w:numPr>
          <w:ilvl w:val="0"/>
          <w:numId w:val="27"/>
        </w:numPr>
        <w:ind w:left="426"/>
        <w:rPr>
          <w:rFonts w:cs="Arial"/>
        </w:rPr>
      </w:pPr>
      <w:bookmarkStart w:id="366" w:name="_Toc63264441"/>
      <w:bookmarkStart w:id="367" w:name="_Toc73477171"/>
      <w:r w:rsidRPr="002A33E4">
        <w:rPr>
          <w:rFonts w:cs="Arial"/>
        </w:rPr>
        <w:t>Odwołanie wnosi się do Prezesa Krajowej Izby Odwoławczej w formie pisemnej albo w formie elektronicznej albo w postaci elektronicznej opatrzone podpisem zaufanym.</w:t>
      </w:r>
      <w:bookmarkEnd w:id="366"/>
      <w:bookmarkEnd w:id="367"/>
      <w:r w:rsidRPr="002A33E4">
        <w:rPr>
          <w:rFonts w:cs="Arial"/>
        </w:rPr>
        <w:t xml:space="preserve"> </w:t>
      </w:r>
    </w:p>
    <w:p w:rsidR="00804382" w:rsidRPr="002A33E4" w:rsidRDefault="00804382" w:rsidP="00142B2B">
      <w:pPr>
        <w:pStyle w:val="Akapitzlist"/>
        <w:numPr>
          <w:ilvl w:val="0"/>
          <w:numId w:val="27"/>
        </w:numPr>
        <w:ind w:left="426"/>
        <w:rPr>
          <w:rFonts w:cs="Arial"/>
        </w:rPr>
      </w:pPr>
      <w:bookmarkStart w:id="368" w:name="_Toc63264442"/>
      <w:bookmarkStart w:id="369" w:name="_Toc73477172"/>
      <w:r w:rsidRPr="002A33E4">
        <w:rPr>
          <w:rFonts w:cs="Arial"/>
        </w:rPr>
        <w:lastRenderedPageBreak/>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68"/>
      <w:bookmarkEnd w:id="369"/>
      <w:r w:rsidRPr="002A33E4">
        <w:rPr>
          <w:rFonts w:cs="Arial"/>
        </w:rPr>
        <w:t xml:space="preserve"> </w:t>
      </w:r>
    </w:p>
    <w:p w:rsidR="00804382" w:rsidRPr="002A33E4" w:rsidRDefault="00804382" w:rsidP="00142B2B">
      <w:pPr>
        <w:pStyle w:val="Akapitzlist"/>
        <w:numPr>
          <w:ilvl w:val="0"/>
          <w:numId w:val="27"/>
        </w:numPr>
        <w:ind w:left="426"/>
        <w:rPr>
          <w:rFonts w:cs="Arial"/>
        </w:rPr>
      </w:pPr>
      <w:bookmarkStart w:id="370" w:name="_Toc63264443"/>
      <w:bookmarkStart w:id="371"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70"/>
      <w:bookmarkEnd w:id="371"/>
      <w:r w:rsidRPr="002A33E4">
        <w:rPr>
          <w:rFonts w:cs="Arial"/>
        </w:rPr>
        <w:t xml:space="preserve"> </w:t>
      </w:r>
    </w:p>
    <w:p w:rsidR="00804382" w:rsidRPr="002A33E4" w:rsidRDefault="00804382" w:rsidP="00C97CB7">
      <w:pPr>
        <w:pStyle w:val="Nagwek2"/>
      </w:pPr>
      <w:bookmarkStart w:id="372" w:name="_Toc73477174"/>
      <w:bookmarkStart w:id="373" w:name="_Toc73477240"/>
      <w:bookmarkStart w:id="374" w:name="_Toc73477527"/>
      <w:bookmarkStart w:id="375" w:name="_Toc73477559"/>
      <w:bookmarkStart w:id="376" w:name="_Toc108419059"/>
      <w:bookmarkStart w:id="377" w:name="_Hlk63264563"/>
      <w:r w:rsidRPr="002A33E4">
        <w:t>KLAUZULA INFORMACYJNA w związku z postępowaniem o udzielenie zamówienia publicznego</w:t>
      </w:r>
      <w:bookmarkEnd w:id="372"/>
      <w:bookmarkEnd w:id="373"/>
      <w:bookmarkEnd w:id="374"/>
      <w:bookmarkEnd w:id="375"/>
      <w:bookmarkEnd w:id="376"/>
    </w:p>
    <w:p w:rsidR="00C8634C" w:rsidRPr="00C8634C" w:rsidRDefault="00C8634C" w:rsidP="00C8634C">
      <w:pPr>
        <w:pStyle w:val="Akapitzlist"/>
        <w:numPr>
          <w:ilvl w:val="0"/>
          <w:numId w:val="29"/>
        </w:numPr>
        <w:ind w:left="426"/>
        <w:rPr>
          <w:rFonts w:eastAsia="Calibri" w:cs="Arial"/>
          <w:iCs/>
        </w:rPr>
      </w:pPr>
      <w:bookmarkStart w:id="378" w:name="_Toc63264444"/>
      <w:bookmarkStart w:id="379" w:name="_Toc73477175"/>
      <w:bookmarkStart w:id="380" w:name="_TOC_250000"/>
      <w:bookmarkEnd w:id="377"/>
      <w:r w:rsidRPr="00C8634C">
        <w:rPr>
          <w:rFonts w:eastAsia="Calibri" w:cs="Arial"/>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400"/>
      </w:tblGrid>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Dane Administratora Danych Osobowych [dalej ADO]</w:t>
            </w:r>
          </w:p>
          <w:p w:rsidR="00C8634C" w:rsidRPr="00C8634C" w:rsidRDefault="00C8634C" w:rsidP="00C8634C">
            <w:pPr>
              <w:widowControl/>
              <w:autoSpaceDE/>
              <w:autoSpaceDN/>
              <w:jc w:val="left"/>
              <w:rPr>
                <w:rFonts w:eastAsia="Calibri" w:cs="Arial"/>
              </w:rPr>
            </w:pPr>
          </w:p>
        </w:tc>
        <w:tc>
          <w:tcPr>
            <w:tcW w:w="7938" w:type="dxa"/>
            <w:shd w:val="clear" w:color="auto" w:fill="auto"/>
          </w:tcPr>
          <w:p w:rsidR="00C8634C" w:rsidRPr="00C8634C" w:rsidRDefault="00C8634C" w:rsidP="00C8634C">
            <w:pPr>
              <w:widowControl/>
              <w:autoSpaceDE/>
              <w:autoSpaceDN/>
              <w:jc w:val="left"/>
              <w:rPr>
                <w:rFonts w:eastAsia="Calibri" w:cs="Arial"/>
              </w:rPr>
            </w:pPr>
            <w:r w:rsidRPr="00C8634C">
              <w:rPr>
                <w:rFonts w:eastAsia="Calibri" w:cs="Arial"/>
              </w:rPr>
              <w:t>Nazwa ADO: Fundusz Składkowy Ubezpieczenia Społecznego Rolników</w:t>
            </w:r>
          </w:p>
          <w:p w:rsidR="00C8634C" w:rsidRPr="00C8634C" w:rsidRDefault="00C8634C" w:rsidP="00C8634C">
            <w:pPr>
              <w:widowControl/>
              <w:autoSpaceDE/>
              <w:autoSpaceDN/>
              <w:jc w:val="left"/>
              <w:rPr>
                <w:rFonts w:eastAsia="Calibri" w:cs="Arial"/>
              </w:rPr>
            </w:pPr>
            <w:r w:rsidRPr="00C8634C">
              <w:rPr>
                <w:rFonts w:eastAsia="Calibri" w:cs="Arial"/>
              </w:rPr>
              <w:t>ul. Stanisława Moniuszki 1A.</w:t>
            </w:r>
            <w:r w:rsidRPr="00C8634C">
              <w:rPr>
                <w:rFonts w:eastAsia="Calibri" w:cs="Arial"/>
              </w:rPr>
              <w:br/>
              <w:t>Kod pocztowy - 00-014 Miejscowość: Warszawa</w:t>
            </w:r>
          </w:p>
          <w:p w:rsidR="00C8634C" w:rsidRPr="00C8634C" w:rsidRDefault="00C8634C" w:rsidP="00C8634C">
            <w:pPr>
              <w:widowControl/>
              <w:autoSpaceDE/>
              <w:autoSpaceDN/>
              <w:jc w:val="left"/>
              <w:rPr>
                <w:rFonts w:eastAsia="Calibri" w:cs="Arial"/>
              </w:rPr>
            </w:pP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Dane kontaktowe Administratora Danych Osobowych</w:t>
            </w:r>
          </w:p>
        </w:tc>
        <w:tc>
          <w:tcPr>
            <w:tcW w:w="7938" w:type="dxa"/>
            <w:shd w:val="clear" w:color="auto" w:fill="auto"/>
          </w:tcPr>
          <w:p w:rsidR="00C8634C" w:rsidRPr="00C8634C" w:rsidRDefault="00C8634C" w:rsidP="00C8634C">
            <w:pPr>
              <w:widowControl/>
              <w:autoSpaceDE/>
              <w:autoSpaceDN/>
              <w:jc w:val="left"/>
              <w:rPr>
                <w:rFonts w:eastAsia="Calibri" w:cs="Arial"/>
                <w:bdr w:val="none" w:sz="0" w:space="0" w:color="auto" w:frame="1"/>
              </w:rPr>
            </w:pPr>
            <w:r w:rsidRPr="00C8634C">
              <w:rPr>
                <w:rFonts w:eastAsia="Calibri" w:cs="Arial"/>
                <w:bdr w:val="none" w:sz="0" w:space="0" w:color="auto" w:frame="1"/>
              </w:rPr>
              <w:t>Adres korespondencyjny ADO:</w:t>
            </w:r>
            <w:r w:rsidRPr="00C8634C">
              <w:rPr>
                <w:rFonts w:eastAsia="Calibri" w:cs="Arial"/>
                <w:bdr w:val="none" w:sz="0" w:space="0" w:color="auto" w:frame="1"/>
              </w:rPr>
              <w:br/>
            </w:r>
            <w:r w:rsidRPr="00C8634C">
              <w:rPr>
                <w:rFonts w:eastAsia="Calibri" w:cs="Arial"/>
              </w:rPr>
              <w:t>ul. Stanisława Moniuszki 1A.</w:t>
            </w:r>
            <w:r w:rsidRPr="00C8634C">
              <w:rPr>
                <w:rFonts w:eastAsia="Calibri" w:cs="Arial"/>
              </w:rPr>
              <w:br/>
              <w:t>Kod pocztowy - 00-014 Miejscowość: Warszawa.</w:t>
            </w:r>
            <w:r w:rsidRPr="00C8634C">
              <w:rPr>
                <w:rFonts w:eastAsia="Calibri" w:cs="Arial"/>
              </w:rPr>
              <w:br/>
            </w:r>
            <w:r w:rsidRPr="00C8634C">
              <w:rPr>
                <w:rFonts w:eastAsia="Calibri" w:cs="Arial"/>
                <w:bdr w:val="none" w:sz="0" w:space="0" w:color="auto" w:frame="1"/>
              </w:rPr>
              <w:t>e-mail: funduszskladkowy@fsusr.gov.pl</w:t>
            </w:r>
          </w:p>
          <w:p w:rsidR="00C8634C" w:rsidRPr="00C8634C" w:rsidRDefault="00C8634C" w:rsidP="00C8634C">
            <w:pPr>
              <w:widowControl/>
              <w:autoSpaceDE/>
              <w:autoSpaceDN/>
              <w:jc w:val="left"/>
              <w:rPr>
                <w:rFonts w:eastAsia="Calibri" w:cs="Arial"/>
              </w:rPr>
            </w:pPr>
            <w:r w:rsidRPr="00C8634C">
              <w:rPr>
                <w:rFonts w:eastAsia="Calibri" w:cs="Arial"/>
                <w:bdr w:val="none" w:sz="0" w:space="0" w:color="auto" w:frame="1"/>
              </w:rPr>
              <w:t>tel.: 022 629 70 96, fax. 022 629 97 24.</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Dane kontaktowe Inspektora Ochrony Danych [dalej IOD]</w:t>
            </w:r>
          </w:p>
        </w:tc>
        <w:tc>
          <w:tcPr>
            <w:tcW w:w="7938" w:type="dxa"/>
            <w:shd w:val="clear" w:color="auto" w:fill="auto"/>
          </w:tcPr>
          <w:p w:rsidR="00C8634C" w:rsidRPr="00C8634C" w:rsidRDefault="00C8634C" w:rsidP="00C8634C">
            <w:pPr>
              <w:widowControl/>
              <w:autoSpaceDE/>
              <w:autoSpaceDN/>
              <w:jc w:val="left"/>
              <w:rPr>
                <w:rFonts w:eastAsia="Calibri" w:cs="Arial"/>
              </w:rPr>
            </w:pPr>
            <w:r w:rsidRPr="00C8634C">
              <w:rPr>
                <w:rFonts w:eastAsia="Calibri" w:cs="Arial"/>
              </w:rPr>
              <w:t>Adres korespondencyjny IOD:</w:t>
            </w:r>
          </w:p>
          <w:p w:rsidR="00C8634C" w:rsidRPr="00C8634C" w:rsidRDefault="00C8634C" w:rsidP="00C8634C">
            <w:pPr>
              <w:widowControl/>
              <w:autoSpaceDE/>
              <w:autoSpaceDN/>
              <w:jc w:val="left"/>
              <w:rPr>
                <w:rFonts w:eastAsia="Calibri" w:cs="Arial"/>
                <w:bdr w:val="none" w:sz="0" w:space="0" w:color="auto" w:frame="1"/>
              </w:rPr>
            </w:pPr>
            <w:r w:rsidRPr="00C8634C">
              <w:rPr>
                <w:rFonts w:eastAsia="Calibri" w:cs="Arial"/>
              </w:rPr>
              <w:t>ul. Stanisława Moniuszki 1A.</w:t>
            </w:r>
            <w:r w:rsidRPr="00C8634C">
              <w:rPr>
                <w:rFonts w:eastAsia="Calibri" w:cs="Arial"/>
              </w:rPr>
              <w:br/>
              <w:t>Kod pocztowy - 00-014 Miejscowość: Warszawa.</w:t>
            </w:r>
            <w:r w:rsidRPr="00C8634C">
              <w:rPr>
                <w:rFonts w:eastAsia="Calibri" w:cs="Arial"/>
              </w:rPr>
              <w:br/>
            </w:r>
            <w:r w:rsidRPr="00C8634C">
              <w:rPr>
                <w:rFonts w:eastAsia="Calibri" w:cs="Arial"/>
                <w:bdr w:val="none" w:sz="0" w:space="0" w:color="auto" w:frame="1"/>
              </w:rPr>
              <w:t>e-mail: iod@fsusr.gov.pl</w:t>
            </w:r>
          </w:p>
          <w:p w:rsidR="00C8634C" w:rsidRPr="00C8634C" w:rsidRDefault="00C8634C" w:rsidP="00C8634C">
            <w:pPr>
              <w:widowControl/>
              <w:autoSpaceDE/>
              <w:autoSpaceDN/>
              <w:jc w:val="left"/>
              <w:rPr>
                <w:rFonts w:eastAsia="Calibri" w:cs="Arial"/>
                <w:bdr w:val="none" w:sz="0" w:space="0" w:color="auto" w:frame="1"/>
              </w:rPr>
            </w:pPr>
            <w:r w:rsidRPr="00C8634C">
              <w:rPr>
                <w:rFonts w:eastAsia="Calibri" w:cs="Arial"/>
                <w:bdr w:val="none" w:sz="0" w:space="0" w:color="auto" w:frame="1"/>
              </w:rPr>
              <w:t>tel.: 022 629 70 96.</w:t>
            </w:r>
          </w:p>
          <w:p w:rsidR="00C8634C" w:rsidRPr="00C8634C" w:rsidRDefault="00C8634C" w:rsidP="00C8634C">
            <w:pPr>
              <w:widowControl/>
              <w:autoSpaceDE/>
              <w:autoSpaceDN/>
              <w:rPr>
                <w:rFonts w:eastAsia="Calibri" w:cs="Arial"/>
              </w:rPr>
            </w:pPr>
            <w:r w:rsidRPr="00C8634C">
              <w:rPr>
                <w:rFonts w:eastAsia="Calibri" w:cs="Arial"/>
              </w:rPr>
              <w:t>Z IOD można się kontaktować w sprawach dotyczących przetwarzania danych osobowych oraz korzystania z praw związanych z przetwarzaniem danych.</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Cel przetwarzania danych osobowych</w:t>
            </w:r>
          </w:p>
        </w:tc>
        <w:tc>
          <w:tcPr>
            <w:tcW w:w="7938" w:type="dxa"/>
            <w:shd w:val="clear" w:color="auto" w:fill="auto"/>
          </w:tcPr>
          <w:p w:rsidR="00C8634C" w:rsidRPr="00C8634C" w:rsidRDefault="00C8634C" w:rsidP="00C8634C">
            <w:pPr>
              <w:widowControl/>
              <w:autoSpaceDE/>
              <w:autoSpaceDN/>
              <w:contextualSpacing/>
              <w:jc w:val="left"/>
              <w:rPr>
                <w:rFonts w:eastAsia="Calibri" w:cs="Arial"/>
              </w:rPr>
            </w:pPr>
            <w:r w:rsidRPr="00C8634C">
              <w:rPr>
                <w:rFonts w:eastAsia="Calibri" w:cs="Arial"/>
              </w:rPr>
              <w:t xml:space="preserve">Pani/Pana dane osobowe przetwarzane będą w celu związanym z </w:t>
            </w:r>
            <w:r>
              <w:rPr>
                <w:rFonts w:eastAsia="Calibri" w:cs="Arial"/>
              </w:rPr>
              <w:t xml:space="preserve">niniejszym </w:t>
            </w:r>
            <w:r w:rsidRPr="00C8634C">
              <w:rPr>
                <w:rFonts w:eastAsia="Calibri" w:cs="Arial"/>
              </w:rPr>
              <w:t xml:space="preserve">postępowaniem o udzielenie zamówienia publicznego </w:t>
            </w:r>
            <w:r w:rsidR="00075516" w:rsidRPr="00075516">
              <w:rPr>
                <w:rFonts w:eastAsia="Calibri" w:cs="Arial"/>
              </w:rPr>
              <w:t>oraz zawarciem i realizacją umowy</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Podstawa prawna przetwarzania</w:t>
            </w:r>
          </w:p>
        </w:tc>
        <w:tc>
          <w:tcPr>
            <w:tcW w:w="7938" w:type="dxa"/>
            <w:shd w:val="clear" w:color="auto" w:fill="auto"/>
          </w:tcPr>
          <w:p w:rsidR="00C8634C" w:rsidRPr="00C8634C" w:rsidRDefault="00C8634C" w:rsidP="00C8634C">
            <w:pPr>
              <w:widowControl/>
              <w:autoSpaceDE/>
              <w:autoSpaceDN/>
              <w:contextualSpacing/>
              <w:jc w:val="left"/>
              <w:rPr>
                <w:rFonts w:eastAsia="Calibri" w:cs="Arial"/>
                <w:b/>
                <w:bCs/>
              </w:rPr>
            </w:pPr>
            <w:r w:rsidRPr="00C8634C">
              <w:rPr>
                <w:rFonts w:eastAsia="Calibri" w:cs="Arial"/>
                <w:b/>
                <w:bCs/>
              </w:rPr>
              <w:t>Podstawą prawną przetwarzania Pani/Pana danych osobowych jest:</w:t>
            </w:r>
          </w:p>
          <w:p w:rsidR="00C8634C" w:rsidRPr="00C8634C" w:rsidRDefault="00C8634C" w:rsidP="00C8634C">
            <w:pPr>
              <w:widowControl/>
              <w:numPr>
                <w:ilvl w:val="0"/>
                <w:numId w:val="43"/>
              </w:numPr>
              <w:autoSpaceDE/>
              <w:autoSpaceDN/>
              <w:adjustRightInd w:val="0"/>
              <w:spacing w:after="160" w:line="259" w:lineRule="auto"/>
              <w:contextualSpacing/>
              <w:jc w:val="left"/>
              <w:rPr>
                <w:rFonts w:eastAsia="Calibri" w:cs="Arial"/>
                <w:iCs/>
              </w:rPr>
            </w:pPr>
            <w:r w:rsidRPr="00C8634C">
              <w:rPr>
                <w:rFonts w:eastAsia="Calibri" w:cs="Arial"/>
                <w:iCs/>
              </w:rPr>
              <w:t xml:space="preserve">art. 6 ust. 1 lit. c) RODO -  </w:t>
            </w:r>
            <w:r w:rsidRPr="00C8634C">
              <w:rPr>
                <w:rFonts w:eastAsia="Calibri" w:cs="Arial"/>
              </w:rPr>
              <w:t>przetwarzanie jest niezbędne do wypełnienia obowiązku prawnego ciążącego na administratorze.</w:t>
            </w:r>
          </w:p>
          <w:p w:rsidR="00C8634C" w:rsidRPr="00C8634C" w:rsidRDefault="00C8634C" w:rsidP="00C8634C">
            <w:pPr>
              <w:widowControl/>
              <w:numPr>
                <w:ilvl w:val="0"/>
                <w:numId w:val="43"/>
              </w:numPr>
              <w:autoSpaceDE/>
              <w:autoSpaceDN/>
              <w:adjustRightInd w:val="0"/>
              <w:spacing w:after="160" w:line="259" w:lineRule="auto"/>
              <w:contextualSpacing/>
              <w:jc w:val="left"/>
              <w:rPr>
                <w:rFonts w:eastAsia="Calibri" w:cs="Arial"/>
                <w:iCs/>
              </w:rPr>
            </w:pPr>
            <w:r w:rsidRPr="00C8634C">
              <w:rPr>
                <w:rFonts w:eastAsia="Calibri" w:cs="Arial"/>
              </w:rPr>
              <w:t>Ustawy z dnia 11 września 2019 r. Prawo zamówień publicznych (</w:t>
            </w:r>
            <w:proofErr w:type="spellStart"/>
            <w:r w:rsidRPr="00C8634C">
              <w:rPr>
                <w:rFonts w:eastAsia="Calibri" w:cs="Arial"/>
              </w:rPr>
              <w:t>t.j</w:t>
            </w:r>
            <w:proofErr w:type="spellEnd"/>
            <w:r w:rsidRPr="00C8634C">
              <w:rPr>
                <w:rFonts w:eastAsia="Calibri" w:cs="Arial"/>
              </w:rPr>
              <w:t xml:space="preserve">. Dz. U 2019 r. z </w:t>
            </w:r>
            <w:proofErr w:type="spellStart"/>
            <w:r w:rsidRPr="00C8634C">
              <w:rPr>
                <w:rFonts w:eastAsia="Calibri" w:cs="Arial"/>
              </w:rPr>
              <w:t>późn</w:t>
            </w:r>
            <w:proofErr w:type="spellEnd"/>
            <w:r w:rsidRPr="00C8634C">
              <w:rPr>
                <w:rFonts w:eastAsia="Calibri" w:cs="Arial"/>
              </w:rPr>
              <w:t xml:space="preserve">. zm.) </w:t>
            </w:r>
            <w:r w:rsidRPr="00C8634C">
              <w:rPr>
                <w:rFonts w:eastAsia="Calibri" w:cs="Arial"/>
              </w:rPr>
              <w:br/>
              <w:t xml:space="preserve">[dalej Ustawa </w:t>
            </w:r>
            <w:proofErr w:type="spellStart"/>
            <w:r w:rsidRPr="00C8634C">
              <w:rPr>
                <w:rFonts w:eastAsia="Calibri" w:cs="Arial"/>
              </w:rPr>
              <w:t>pzp</w:t>
            </w:r>
            <w:proofErr w:type="spellEnd"/>
            <w:r w:rsidRPr="00C8634C">
              <w:rPr>
                <w:rFonts w:eastAsia="Calibri" w:cs="Arial"/>
              </w:rPr>
              <w:t>]</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Informacja o dobrowolności podania danych osobowych.</w:t>
            </w:r>
          </w:p>
        </w:tc>
        <w:tc>
          <w:tcPr>
            <w:tcW w:w="7938" w:type="dxa"/>
            <w:shd w:val="clear" w:color="auto" w:fill="auto"/>
          </w:tcPr>
          <w:p w:rsidR="00C8634C" w:rsidRPr="00C8634C" w:rsidRDefault="00C8634C" w:rsidP="00C8634C">
            <w:pPr>
              <w:widowControl/>
              <w:autoSpaceDE/>
              <w:autoSpaceDN/>
              <w:contextualSpacing/>
              <w:jc w:val="left"/>
              <w:rPr>
                <w:rFonts w:eastAsia="Calibri" w:cs="Arial"/>
              </w:rPr>
            </w:pPr>
            <w:r w:rsidRPr="00C8634C">
              <w:rPr>
                <w:rFonts w:eastAsia="Calibri" w:cs="Arial"/>
              </w:rPr>
              <w:t xml:space="preserve">Obowiązek podania przez Panią/Pana danych osobowych bezpośrednio Pani/Pana dotyczących jest wymogiem ustawowym określonym w przepisach Ustawy </w:t>
            </w:r>
            <w:proofErr w:type="spellStart"/>
            <w:r w:rsidRPr="00C8634C">
              <w:rPr>
                <w:rFonts w:eastAsia="Calibri" w:cs="Arial"/>
              </w:rPr>
              <w:t>pzp</w:t>
            </w:r>
            <w:proofErr w:type="spellEnd"/>
            <w:r w:rsidRPr="00C8634C">
              <w:rPr>
                <w:rFonts w:eastAsia="Calibri" w:cs="Arial"/>
              </w:rPr>
              <w:t xml:space="preserve">, związanym z udziałem w postępowaniu o udzielenie zamówienia publicznego. Konsekwencje niepodania określonych danych wynikają z Ustawy </w:t>
            </w:r>
            <w:proofErr w:type="spellStart"/>
            <w:r w:rsidRPr="00C8634C">
              <w:rPr>
                <w:rFonts w:eastAsia="Calibri" w:cs="Arial"/>
              </w:rPr>
              <w:t>pzp</w:t>
            </w:r>
            <w:proofErr w:type="spellEnd"/>
            <w:r w:rsidRPr="00C8634C">
              <w:rPr>
                <w:rFonts w:eastAsia="Calibri" w:cs="Arial"/>
              </w:rPr>
              <w:t>.</w:t>
            </w:r>
          </w:p>
          <w:p w:rsidR="00C8634C" w:rsidRPr="00C8634C" w:rsidRDefault="00C8634C" w:rsidP="00C8634C">
            <w:pPr>
              <w:widowControl/>
              <w:autoSpaceDE/>
              <w:autoSpaceDN/>
              <w:contextualSpacing/>
              <w:jc w:val="left"/>
              <w:rPr>
                <w:rFonts w:eastAsia="Calibri" w:cs="Arial"/>
              </w:rPr>
            </w:pPr>
          </w:p>
        </w:tc>
      </w:tr>
      <w:tr w:rsidR="00C8634C" w:rsidRPr="00C21381" w:rsidTr="00DD63B8">
        <w:tc>
          <w:tcPr>
            <w:tcW w:w="1696" w:type="dxa"/>
            <w:shd w:val="pct5" w:color="auto" w:fill="auto"/>
          </w:tcPr>
          <w:p w:rsidR="00C21381" w:rsidRDefault="00C8634C" w:rsidP="00C8634C">
            <w:pPr>
              <w:widowControl/>
              <w:autoSpaceDE/>
              <w:autoSpaceDN/>
              <w:jc w:val="left"/>
              <w:rPr>
                <w:rFonts w:eastAsia="Calibri" w:cs="Arial"/>
              </w:rPr>
            </w:pPr>
            <w:r w:rsidRPr="00C8634C">
              <w:rPr>
                <w:rFonts w:eastAsia="Calibri" w:cs="Arial"/>
              </w:rPr>
              <w:t>Odbiorcy danych.</w:t>
            </w:r>
          </w:p>
          <w:p w:rsidR="00C21381" w:rsidRDefault="00C8634C" w:rsidP="00C21381">
            <w:pPr>
              <w:widowControl/>
              <w:autoSpaceDE/>
              <w:autoSpaceDN/>
              <w:jc w:val="left"/>
              <w:rPr>
                <w:rFonts w:eastAsia="Calibri" w:cs="Arial"/>
              </w:rPr>
            </w:pPr>
            <w:r w:rsidRPr="00C8634C">
              <w:rPr>
                <w:rFonts w:eastAsia="Calibri" w:cs="Arial"/>
              </w:rPr>
              <w:t>Udostępnianie danych.</w:t>
            </w:r>
          </w:p>
          <w:p w:rsidR="00C8634C" w:rsidRPr="00C8634C" w:rsidRDefault="00C8634C" w:rsidP="00C21381">
            <w:pPr>
              <w:widowControl/>
              <w:autoSpaceDE/>
              <w:autoSpaceDN/>
              <w:jc w:val="left"/>
              <w:rPr>
                <w:rFonts w:eastAsia="Calibri" w:cs="Arial"/>
              </w:rPr>
            </w:pPr>
            <w:r w:rsidRPr="00C8634C">
              <w:rPr>
                <w:rFonts w:eastAsia="Calibri" w:cs="Arial"/>
              </w:rPr>
              <w:t>Po</w:t>
            </w:r>
            <w:r w:rsidR="00C21381">
              <w:rPr>
                <w:rFonts w:eastAsia="Calibri" w:cs="Arial"/>
              </w:rPr>
              <w:t>wierzanie przetwarzania danych.</w:t>
            </w:r>
          </w:p>
        </w:tc>
        <w:tc>
          <w:tcPr>
            <w:tcW w:w="7938" w:type="dxa"/>
            <w:shd w:val="clear" w:color="auto" w:fill="auto"/>
          </w:tcPr>
          <w:p w:rsidR="00C8634C" w:rsidRPr="00C8634C" w:rsidRDefault="00C8634C" w:rsidP="00C8634C">
            <w:pPr>
              <w:widowControl/>
              <w:autoSpaceDE/>
              <w:autoSpaceDN/>
              <w:jc w:val="left"/>
              <w:textAlignment w:val="baseline"/>
              <w:rPr>
                <w:rFonts w:eastAsia="Times New Roman" w:cs="Arial"/>
                <w:lang w:eastAsia="pl-PL"/>
              </w:rPr>
            </w:pPr>
            <w:r w:rsidRPr="00C8634C">
              <w:rPr>
                <w:rFonts w:eastAsia="Times New Roman" w:cs="Arial"/>
                <w:b/>
                <w:bCs/>
                <w:lang w:eastAsia="pl-PL"/>
              </w:rPr>
              <w:t xml:space="preserve">Odbiorcy danych: </w:t>
            </w:r>
            <w:r w:rsidRPr="00C8634C">
              <w:rPr>
                <w:rFonts w:eastAsia="Times New Roman" w:cs="Arial"/>
                <w:lang w:eastAsia="pl-PL"/>
              </w:rPr>
              <w:t xml:space="preserve">Osoby lub podmioty, którym udostępniona zostanie dokumentacja postępowania w oparciu o art. 18 ust. 1 Ustawy </w:t>
            </w:r>
            <w:proofErr w:type="spellStart"/>
            <w:r w:rsidRPr="00C8634C">
              <w:rPr>
                <w:rFonts w:eastAsia="Times New Roman" w:cs="Arial"/>
                <w:lang w:eastAsia="pl-PL"/>
              </w:rPr>
              <w:t>pzp</w:t>
            </w:r>
            <w:proofErr w:type="spellEnd"/>
            <w:r w:rsidRPr="00C8634C">
              <w:rPr>
                <w:rFonts w:eastAsia="Times New Roman" w:cs="Arial"/>
                <w:lang w:eastAsia="pl-PL"/>
              </w:rPr>
              <w:t>. Zewnętrzna kancelaria prawna. Operator pocztowy  w rozumieniu  ustawy  z dnia  23 listopada  2012 r. Prawo  pocztowe (</w:t>
            </w:r>
            <w:proofErr w:type="spellStart"/>
            <w:r w:rsidRPr="00C8634C">
              <w:rPr>
                <w:rFonts w:eastAsia="Times New Roman" w:cs="Arial"/>
                <w:lang w:eastAsia="pl-PL"/>
              </w:rPr>
              <w:t>t.j</w:t>
            </w:r>
            <w:proofErr w:type="spellEnd"/>
            <w:r w:rsidRPr="00C8634C">
              <w:rPr>
                <w:rFonts w:eastAsia="Times New Roman" w:cs="Arial"/>
                <w:lang w:eastAsia="pl-PL"/>
              </w:rPr>
              <w:t xml:space="preserve">. Dz. U. z 2020 r. poz.1041 i 2320). Posłaniec dostarczający korespondencję na zasadach określonych w art. 65 ust. 2, 401 ust. 1, 508 ust. 2 Ustawy </w:t>
            </w:r>
            <w:proofErr w:type="spellStart"/>
            <w:r w:rsidRPr="00C8634C">
              <w:rPr>
                <w:rFonts w:eastAsia="Times New Roman" w:cs="Arial"/>
                <w:lang w:eastAsia="pl-PL"/>
              </w:rPr>
              <w:t>pzp</w:t>
            </w:r>
            <w:proofErr w:type="spellEnd"/>
            <w:r w:rsidRPr="00C8634C">
              <w:rPr>
                <w:rFonts w:eastAsia="Times New Roman" w:cs="Arial"/>
                <w:lang w:eastAsia="pl-PL"/>
              </w:rPr>
              <w:t>.</w:t>
            </w:r>
          </w:p>
          <w:p w:rsidR="00C8634C" w:rsidRPr="00C8634C" w:rsidRDefault="00C8634C" w:rsidP="00C8634C">
            <w:pPr>
              <w:widowControl/>
              <w:autoSpaceDE/>
              <w:autoSpaceDN/>
              <w:jc w:val="left"/>
              <w:textAlignment w:val="baseline"/>
              <w:rPr>
                <w:rFonts w:eastAsia="Times New Roman" w:cs="Arial"/>
                <w:lang w:eastAsia="pl-PL"/>
              </w:rPr>
            </w:pPr>
          </w:p>
          <w:p w:rsidR="00C8634C" w:rsidRPr="00C8634C" w:rsidRDefault="00C8634C" w:rsidP="00C8634C">
            <w:pPr>
              <w:widowControl/>
              <w:autoSpaceDE/>
              <w:autoSpaceDN/>
              <w:jc w:val="left"/>
              <w:textAlignment w:val="baseline"/>
              <w:rPr>
                <w:rFonts w:eastAsia="Times New Roman" w:cs="Arial"/>
                <w:lang w:eastAsia="pl-PL"/>
              </w:rPr>
            </w:pPr>
            <w:r w:rsidRPr="00C8634C">
              <w:rPr>
                <w:rFonts w:eastAsia="Times New Roman" w:cs="Arial"/>
                <w:b/>
                <w:bCs/>
                <w:lang w:eastAsia="pl-PL"/>
              </w:rPr>
              <w:t>Kategorie podmiotów przetwarzających:</w:t>
            </w:r>
            <w:r w:rsidRPr="00C8634C">
              <w:rPr>
                <w:rFonts w:eastAsia="Times New Roman" w:cs="Arial"/>
                <w:lang w:eastAsia="pl-PL"/>
              </w:rPr>
              <w:t xml:space="preserve">  Zewnętrzny podmiot usług </w:t>
            </w:r>
            <w:r w:rsidRPr="00C8634C">
              <w:rPr>
                <w:rFonts w:eastAsia="Times New Roman" w:cs="Arial"/>
                <w:lang w:eastAsia="pl-PL"/>
              </w:rPr>
              <w:lastRenderedPageBreak/>
              <w:t xml:space="preserve">IT. Zewnętrzny </w:t>
            </w:r>
            <w:proofErr w:type="spellStart"/>
            <w:r w:rsidRPr="00C8634C">
              <w:rPr>
                <w:rFonts w:eastAsia="Times New Roman" w:cs="Arial"/>
                <w:lang w:eastAsia="pl-PL"/>
              </w:rPr>
              <w:t>hostingodawca</w:t>
            </w:r>
            <w:proofErr w:type="spellEnd"/>
            <w:r w:rsidRPr="00C8634C">
              <w:rPr>
                <w:rFonts w:eastAsia="Times New Roman" w:cs="Arial"/>
                <w:lang w:eastAsia="pl-PL"/>
              </w:rPr>
              <w:t>. Podmiot dostarczający narzędzia i urządzenia komunikacji elektronicznej.</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lastRenderedPageBreak/>
              <w:t>Okres przechowywania danych.</w:t>
            </w:r>
          </w:p>
        </w:tc>
        <w:tc>
          <w:tcPr>
            <w:tcW w:w="7938" w:type="dxa"/>
            <w:shd w:val="clear" w:color="auto" w:fill="auto"/>
          </w:tcPr>
          <w:p w:rsidR="00C8634C" w:rsidRPr="00C8634C" w:rsidRDefault="00C8634C" w:rsidP="00C8634C">
            <w:pPr>
              <w:widowControl/>
              <w:numPr>
                <w:ilvl w:val="0"/>
                <w:numId w:val="46"/>
              </w:numPr>
              <w:autoSpaceDE/>
              <w:autoSpaceDN/>
              <w:adjustRightInd w:val="0"/>
              <w:spacing w:after="160" w:line="259" w:lineRule="auto"/>
              <w:contextualSpacing/>
              <w:jc w:val="left"/>
              <w:rPr>
                <w:rFonts w:eastAsia="Times New Roman" w:cs="Arial"/>
                <w:iCs/>
              </w:rPr>
            </w:pPr>
            <w:r w:rsidRPr="00C8634C">
              <w:rPr>
                <w:rFonts w:eastAsia="Times New Roman" w:cs="Arial"/>
                <w:iCs/>
              </w:rPr>
              <w:t>ADO  przechowuje   protokół   postępowania   wraz z załącznikami  przez  okres  4 lat  od  dnia  zakończenia  postępowania  o udzielenie zamówienia, w sposób gwarantujący jego nienaruszalność.</w:t>
            </w:r>
          </w:p>
          <w:p w:rsidR="00C8634C" w:rsidRPr="00C8634C" w:rsidRDefault="00C8634C" w:rsidP="00C8634C">
            <w:pPr>
              <w:widowControl/>
              <w:numPr>
                <w:ilvl w:val="0"/>
                <w:numId w:val="46"/>
              </w:numPr>
              <w:autoSpaceDE/>
              <w:autoSpaceDN/>
              <w:adjustRightInd w:val="0"/>
              <w:spacing w:after="160" w:line="259" w:lineRule="auto"/>
              <w:contextualSpacing/>
              <w:jc w:val="left"/>
              <w:rPr>
                <w:rFonts w:eastAsia="Times New Roman" w:cs="Arial"/>
                <w:iCs/>
              </w:rPr>
            </w:pPr>
            <w:r w:rsidRPr="00C8634C">
              <w:rPr>
                <w:rFonts w:eastAsia="Times New Roman" w:cs="Arial"/>
                <w:iCs/>
              </w:rPr>
              <w:t>Jeżeli  okres  obowiązywania  umowy  w sprawie  zamówienia  publicznego przekracza 4 lata,  ADO przechowuje  protokół  postępowania  wraz z załącznikami  przez  cały  okres  obowiązywania  umowy  w sprawie  zamówienia publicznego.</w:t>
            </w:r>
          </w:p>
          <w:p w:rsidR="00C8634C" w:rsidRPr="00C8634C" w:rsidRDefault="00C8634C" w:rsidP="00C8634C">
            <w:pPr>
              <w:widowControl/>
              <w:numPr>
                <w:ilvl w:val="0"/>
                <w:numId w:val="46"/>
              </w:numPr>
              <w:autoSpaceDE/>
              <w:autoSpaceDN/>
              <w:adjustRightInd w:val="0"/>
              <w:spacing w:after="160" w:line="259" w:lineRule="auto"/>
              <w:contextualSpacing/>
              <w:jc w:val="left"/>
              <w:rPr>
                <w:rFonts w:eastAsia="Times New Roman" w:cs="Arial"/>
                <w:iCs/>
              </w:rPr>
            </w:pPr>
            <w:r w:rsidRPr="00C8634C">
              <w:rPr>
                <w:rFonts w:eastAsia="Times New Roman" w:cs="Arial"/>
                <w:iCs/>
              </w:rPr>
              <w:t xml:space="preserve">ADO przechowuje dokumentację konkursu przez okres 4 lat od dnia ustalenia wyników konkursu w postaci, </w:t>
            </w:r>
            <w:r w:rsidRPr="00C8634C">
              <w:rPr>
                <w:rFonts w:eastAsia="Times New Roman" w:cs="Arial"/>
                <w:iCs/>
              </w:rPr>
              <w:br/>
              <w:t>w jakiej została ona sporządzona lub przekazana, w sposób gwarantujący jej nienaruszalność i możliwość odczytania</w:t>
            </w:r>
          </w:p>
          <w:p w:rsidR="00C8634C" w:rsidRPr="00C8634C" w:rsidRDefault="00C8634C" w:rsidP="00C8634C">
            <w:pPr>
              <w:widowControl/>
              <w:autoSpaceDE/>
              <w:autoSpaceDN/>
              <w:jc w:val="left"/>
              <w:rPr>
                <w:rFonts w:eastAsia="Calibri" w:cs="Arial"/>
              </w:rPr>
            </w:pPr>
            <w:r w:rsidRPr="00C8634C">
              <w:rPr>
                <w:rFonts w:eastAsia="Times New Roman" w:cs="Arial"/>
                <w:iCs/>
              </w:rPr>
              <w:t xml:space="preserve">zgodnie z Ustawą Prawo Zamówień Publicznych (art. 78 ust. 1 i ust. 4, art. 358 ust. 1 Ustawa </w:t>
            </w:r>
            <w:proofErr w:type="spellStart"/>
            <w:r w:rsidRPr="00C8634C">
              <w:rPr>
                <w:rFonts w:eastAsia="Times New Roman" w:cs="Arial"/>
                <w:iCs/>
              </w:rPr>
              <w:t>pzp</w:t>
            </w:r>
            <w:proofErr w:type="spellEnd"/>
            <w:r w:rsidRPr="00C8634C">
              <w:rPr>
                <w:rFonts w:eastAsia="Times New Roman" w:cs="Arial"/>
                <w:iCs/>
              </w:rPr>
              <w:t>)</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Informacja dotycząca zautomatyzowanego przetwarzania danych osobowych</w:t>
            </w:r>
          </w:p>
        </w:tc>
        <w:tc>
          <w:tcPr>
            <w:tcW w:w="7938" w:type="dxa"/>
            <w:shd w:val="clear" w:color="auto" w:fill="auto"/>
          </w:tcPr>
          <w:p w:rsidR="00C8634C" w:rsidRPr="00C8634C" w:rsidRDefault="00C8634C" w:rsidP="00C8634C">
            <w:pPr>
              <w:widowControl/>
              <w:adjustRightInd w:val="0"/>
              <w:contextualSpacing/>
              <w:jc w:val="left"/>
              <w:rPr>
                <w:rFonts w:eastAsia="Times New Roman" w:cs="Arial"/>
                <w:iCs/>
              </w:rPr>
            </w:pPr>
            <w:r w:rsidRPr="00C8634C">
              <w:rPr>
                <w:rFonts w:eastAsia="Times New Roman" w:cs="Arial"/>
                <w:iCs/>
              </w:rPr>
              <w:t>Pani/Pana dane nie będą/będą przetwarzane w sposób zautomatyzowany.</w:t>
            </w:r>
          </w:p>
        </w:tc>
      </w:tr>
      <w:tr w:rsidR="00C8634C" w:rsidRPr="00C21381" w:rsidTr="00DD63B8">
        <w:tc>
          <w:tcPr>
            <w:tcW w:w="1696" w:type="dxa"/>
            <w:shd w:val="pct5" w:color="auto" w:fill="auto"/>
          </w:tcPr>
          <w:p w:rsidR="00C8634C" w:rsidRPr="00C8634C" w:rsidRDefault="00C8634C" w:rsidP="00C8634C">
            <w:pPr>
              <w:widowControl/>
              <w:autoSpaceDE/>
              <w:autoSpaceDN/>
              <w:jc w:val="left"/>
              <w:rPr>
                <w:rFonts w:eastAsia="Calibri" w:cs="Arial"/>
              </w:rPr>
            </w:pPr>
            <w:r w:rsidRPr="00C8634C">
              <w:rPr>
                <w:rFonts w:eastAsia="Calibri" w:cs="Arial"/>
              </w:rPr>
              <w:t>Prawa osoby której dane dotyczą.</w:t>
            </w:r>
          </w:p>
        </w:tc>
        <w:tc>
          <w:tcPr>
            <w:tcW w:w="7938" w:type="dxa"/>
            <w:shd w:val="clear" w:color="auto" w:fill="auto"/>
          </w:tcPr>
          <w:p w:rsidR="00C8634C" w:rsidRPr="00C8634C" w:rsidRDefault="00C8634C" w:rsidP="00C8634C">
            <w:pPr>
              <w:widowControl/>
              <w:autoSpaceDE/>
              <w:autoSpaceDN/>
              <w:contextualSpacing/>
              <w:jc w:val="left"/>
              <w:rPr>
                <w:rFonts w:eastAsia="Calibri" w:cs="Arial"/>
                <w:b/>
                <w:bCs/>
              </w:rPr>
            </w:pPr>
            <w:r w:rsidRPr="00C8634C">
              <w:rPr>
                <w:rFonts w:eastAsia="Calibri" w:cs="Arial"/>
                <w:b/>
                <w:bCs/>
              </w:rPr>
              <w:t>Ma Pani/Pan prawo do:</w:t>
            </w:r>
          </w:p>
          <w:p w:rsidR="00C8634C" w:rsidRPr="00C8634C" w:rsidRDefault="00C8634C" w:rsidP="00C8634C">
            <w:pPr>
              <w:widowControl/>
              <w:numPr>
                <w:ilvl w:val="0"/>
                <w:numId w:val="44"/>
              </w:numPr>
              <w:autoSpaceDE/>
              <w:autoSpaceDN/>
              <w:spacing w:after="160" w:line="259" w:lineRule="auto"/>
              <w:contextualSpacing/>
              <w:jc w:val="left"/>
              <w:rPr>
                <w:rFonts w:eastAsia="Calibri" w:cs="Arial"/>
              </w:rPr>
            </w:pPr>
            <w:r w:rsidRPr="00C8634C">
              <w:rPr>
                <w:rFonts w:eastAsia="Calibri" w:cs="Arial"/>
              </w:rPr>
              <w:t>żądania od ADO dostępu do danych osobowych Pani/Pana dotyczących,</w:t>
            </w:r>
          </w:p>
          <w:p w:rsidR="00C8634C" w:rsidRPr="00C8634C" w:rsidRDefault="00C8634C" w:rsidP="00C8634C">
            <w:pPr>
              <w:widowControl/>
              <w:numPr>
                <w:ilvl w:val="0"/>
                <w:numId w:val="44"/>
              </w:numPr>
              <w:autoSpaceDE/>
              <w:autoSpaceDN/>
              <w:spacing w:after="160" w:line="259" w:lineRule="auto"/>
              <w:contextualSpacing/>
              <w:jc w:val="left"/>
              <w:rPr>
                <w:rFonts w:eastAsia="Calibri" w:cs="Arial"/>
              </w:rPr>
            </w:pPr>
            <w:r w:rsidRPr="00C8634C">
              <w:rPr>
                <w:rFonts w:eastAsia="Calibri" w:cs="Arial"/>
              </w:rPr>
              <w:t>żądania od ADO sprostowania danych osobowych Pani/Pana dotyczących. *</w:t>
            </w:r>
          </w:p>
          <w:p w:rsidR="00C8634C" w:rsidRPr="00C8634C" w:rsidRDefault="00C8634C" w:rsidP="00C8634C">
            <w:pPr>
              <w:widowControl/>
              <w:numPr>
                <w:ilvl w:val="0"/>
                <w:numId w:val="44"/>
              </w:numPr>
              <w:autoSpaceDE/>
              <w:autoSpaceDN/>
              <w:spacing w:after="160" w:line="259" w:lineRule="auto"/>
              <w:contextualSpacing/>
              <w:jc w:val="left"/>
              <w:rPr>
                <w:rFonts w:eastAsia="Calibri" w:cs="Arial"/>
              </w:rPr>
            </w:pPr>
            <w:r w:rsidRPr="00C8634C">
              <w:rPr>
                <w:rFonts w:eastAsia="Calibri" w:cs="Arial"/>
              </w:rPr>
              <w:t>żądania od ADO usunięcia danych osobowych Pani/Pana dotyczących,  w sytuacji, gdy przetwarzanie danych nie następuje w celu wywiązania się z obowiązku wynikającego z przepisu prawa,</w:t>
            </w:r>
          </w:p>
          <w:p w:rsidR="00C8634C" w:rsidRPr="00C8634C" w:rsidRDefault="00C8634C" w:rsidP="00C8634C">
            <w:pPr>
              <w:widowControl/>
              <w:numPr>
                <w:ilvl w:val="0"/>
                <w:numId w:val="44"/>
              </w:numPr>
              <w:autoSpaceDE/>
              <w:autoSpaceDN/>
              <w:spacing w:after="160" w:line="259" w:lineRule="auto"/>
              <w:contextualSpacing/>
              <w:jc w:val="left"/>
              <w:rPr>
                <w:rFonts w:eastAsia="Calibri" w:cs="Arial"/>
              </w:rPr>
            </w:pPr>
            <w:r w:rsidRPr="00C8634C">
              <w:rPr>
                <w:rFonts w:eastAsia="Calibri" w:cs="Arial"/>
              </w:rPr>
              <w:t>żądania od ADO ograniczenia przetwarzania danych osobowych Pani/Pana dotyczących. **</w:t>
            </w:r>
          </w:p>
          <w:p w:rsidR="00C8634C" w:rsidRPr="00C8634C" w:rsidRDefault="00C8634C" w:rsidP="00C8634C">
            <w:pPr>
              <w:widowControl/>
              <w:adjustRightInd w:val="0"/>
              <w:contextualSpacing/>
              <w:jc w:val="left"/>
              <w:rPr>
                <w:rFonts w:eastAsia="Calibri" w:cs="Arial"/>
                <w:b/>
                <w:bCs/>
              </w:rPr>
            </w:pPr>
            <w:r w:rsidRPr="00C8634C">
              <w:rPr>
                <w:rFonts w:eastAsia="Calibri" w:cs="Arial"/>
                <w:b/>
                <w:bCs/>
              </w:rPr>
              <w:t xml:space="preserve">Zakres każdego z tych praw oraz sytuacje, w których można z nich skorzystać, wynikają  z przepisów RODO oraz Ustawy </w:t>
            </w:r>
            <w:proofErr w:type="spellStart"/>
            <w:r w:rsidRPr="00C8634C">
              <w:rPr>
                <w:rFonts w:eastAsia="Calibri" w:cs="Arial"/>
                <w:b/>
                <w:bCs/>
              </w:rPr>
              <w:t>pzp</w:t>
            </w:r>
            <w:proofErr w:type="spellEnd"/>
            <w:r w:rsidRPr="00C8634C">
              <w:rPr>
                <w:rFonts w:eastAsia="Calibri" w:cs="Arial"/>
                <w:b/>
                <w:bCs/>
              </w:rPr>
              <w:t xml:space="preserve">. </w:t>
            </w:r>
          </w:p>
          <w:p w:rsidR="00C8634C" w:rsidRPr="00C8634C" w:rsidRDefault="00C8634C" w:rsidP="00C8634C">
            <w:pPr>
              <w:widowControl/>
              <w:adjustRightInd w:val="0"/>
              <w:contextualSpacing/>
              <w:jc w:val="left"/>
              <w:rPr>
                <w:rFonts w:eastAsia="Calibri" w:cs="Arial"/>
                <w:b/>
              </w:rPr>
            </w:pPr>
            <w:r w:rsidRPr="00C8634C">
              <w:rPr>
                <w:rFonts w:eastAsia="Calibri" w:cs="Arial"/>
                <w:b/>
              </w:rPr>
              <w:t>Z powyższych praw może Pan/Pani skorzystać składając wniosek u ADO</w:t>
            </w:r>
          </w:p>
          <w:p w:rsidR="00C8634C" w:rsidRPr="00C8634C" w:rsidRDefault="00C8634C" w:rsidP="00C8634C">
            <w:pPr>
              <w:widowControl/>
              <w:adjustRightInd w:val="0"/>
              <w:contextualSpacing/>
              <w:jc w:val="left"/>
              <w:rPr>
                <w:rFonts w:eastAsia="Calibri" w:cs="Arial"/>
                <w:b/>
                <w:bCs/>
              </w:rPr>
            </w:pPr>
          </w:p>
          <w:p w:rsidR="00C8634C" w:rsidRPr="00C8634C" w:rsidRDefault="00C8634C" w:rsidP="00C8634C">
            <w:pPr>
              <w:widowControl/>
              <w:adjustRightInd w:val="0"/>
              <w:contextualSpacing/>
              <w:jc w:val="left"/>
              <w:rPr>
                <w:rFonts w:eastAsia="Calibri" w:cs="Arial"/>
              </w:rPr>
            </w:pPr>
            <w:r w:rsidRPr="00C8634C">
              <w:rPr>
                <w:rFonts w:eastAsia="Calibri" w:cs="Arial"/>
              </w:rPr>
              <w:t>N</w:t>
            </w:r>
            <w:r w:rsidRPr="00C8634C">
              <w:rPr>
                <w:rFonts w:eastAsia="Times New Roman" w:cs="Arial"/>
                <w:lang w:eastAsia="pl-PL"/>
              </w:rPr>
              <w:t>ie przysługuje Pani/Panu:</w:t>
            </w:r>
          </w:p>
          <w:p w:rsidR="00C8634C" w:rsidRPr="00C8634C" w:rsidRDefault="00C8634C" w:rsidP="00C8634C">
            <w:pPr>
              <w:widowControl/>
              <w:numPr>
                <w:ilvl w:val="0"/>
                <w:numId w:val="45"/>
              </w:numPr>
              <w:autoSpaceDE/>
              <w:autoSpaceDN/>
              <w:spacing w:after="160" w:line="259" w:lineRule="auto"/>
              <w:ind w:left="324"/>
              <w:contextualSpacing/>
              <w:jc w:val="left"/>
              <w:rPr>
                <w:rFonts w:eastAsia="Times New Roman" w:cs="Arial"/>
                <w:i/>
                <w:lang w:eastAsia="pl-PL"/>
              </w:rPr>
            </w:pPr>
            <w:r w:rsidRPr="00C8634C">
              <w:rPr>
                <w:rFonts w:eastAsia="Times New Roman" w:cs="Arial"/>
                <w:lang w:eastAsia="pl-PL"/>
              </w:rPr>
              <w:t>w związku z art. 17 ust. 3 lit. b), d) lub e) RODO prawo do usunięcia danych osobowych;</w:t>
            </w:r>
          </w:p>
          <w:p w:rsidR="00C8634C" w:rsidRPr="00C8634C" w:rsidRDefault="00C8634C" w:rsidP="00C8634C">
            <w:pPr>
              <w:widowControl/>
              <w:numPr>
                <w:ilvl w:val="0"/>
                <w:numId w:val="45"/>
              </w:numPr>
              <w:autoSpaceDE/>
              <w:autoSpaceDN/>
              <w:spacing w:after="160" w:line="259" w:lineRule="auto"/>
              <w:ind w:left="324"/>
              <w:contextualSpacing/>
              <w:jc w:val="left"/>
              <w:rPr>
                <w:rFonts w:eastAsia="Times New Roman" w:cs="Arial"/>
                <w:i/>
                <w:lang w:eastAsia="pl-PL"/>
              </w:rPr>
            </w:pPr>
            <w:r w:rsidRPr="00C8634C">
              <w:rPr>
                <w:rFonts w:eastAsia="Times New Roman" w:cs="Arial"/>
                <w:lang w:eastAsia="pl-PL"/>
              </w:rPr>
              <w:t>prawo do przenoszenia danych osobowych, o którym mowa w art. 20 RODO;</w:t>
            </w:r>
          </w:p>
          <w:p w:rsidR="00C8634C" w:rsidRPr="00C8634C" w:rsidRDefault="00C8634C" w:rsidP="00C8634C">
            <w:pPr>
              <w:widowControl/>
              <w:numPr>
                <w:ilvl w:val="0"/>
                <w:numId w:val="45"/>
              </w:numPr>
              <w:autoSpaceDE/>
              <w:autoSpaceDN/>
              <w:spacing w:after="160" w:line="259" w:lineRule="auto"/>
              <w:ind w:left="324"/>
              <w:contextualSpacing/>
              <w:jc w:val="left"/>
              <w:rPr>
                <w:rFonts w:eastAsia="Times New Roman" w:cs="Arial"/>
                <w:i/>
                <w:lang w:eastAsia="pl-PL"/>
              </w:rPr>
            </w:pPr>
            <w:r w:rsidRPr="00C8634C">
              <w:rPr>
                <w:rFonts w:eastAsia="Times New Roman" w:cs="Arial"/>
                <w:lang w:eastAsia="pl-PL"/>
              </w:rPr>
              <w:t xml:space="preserve">na podstawie art. 21 RODO prawo sprzeciwu, wobec przetwarzania danych osobowych, gdyż podstawą prawną przetwarzania Pani/Pana danych osobowych jest art. 6 ust. 1 lit. c) RODO. </w:t>
            </w:r>
          </w:p>
          <w:p w:rsidR="00C8634C" w:rsidRPr="00C8634C" w:rsidRDefault="00C8634C" w:rsidP="00C8634C">
            <w:pPr>
              <w:widowControl/>
              <w:autoSpaceDE/>
              <w:autoSpaceDN/>
              <w:ind w:left="324"/>
              <w:contextualSpacing/>
              <w:jc w:val="left"/>
              <w:rPr>
                <w:rFonts w:eastAsia="Times New Roman" w:cs="Arial"/>
                <w:i/>
                <w:lang w:eastAsia="pl-PL"/>
              </w:rPr>
            </w:pPr>
          </w:p>
          <w:p w:rsidR="00C8634C" w:rsidRPr="00C8634C" w:rsidRDefault="00C8634C" w:rsidP="00C8634C">
            <w:pPr>
              <w:widowControl/>
              <w:shd w:val="clear" w:color="auto" w:fill="FFFFFF"/>
              <w:adjustRightInd w:val="0"/>
              <w:contextualSpacing/>
              <w:jc w:val="left"/>
              <w:rPr>
                <w:rFonts w:eastAsia="Calibri" w:cs="Arial"/>
              </w:rPr>
            </w:pPr>
            <w:r w:rsidRPr="00C8634C">
              <w:rPr>
                <w:rFonts w:eastAsia="Calibri" w:cs="Arial"/>
              </w:rPr>
              <w:t>Ma Pani/Pan prawo wniesienia skargi do Prezesa Urzędu Ochrony Danych Osobowych, gdy uzna Pani/Pan, iż przetwarzanie danych osobowych Pani/Pana dotyczących narusza przepisy RODO.</w:t>
            </w:r>
          </w:p>
        </w:tc>
      </w:tr>
    </w:tbl>
    <w:p w:rsidR="00804382" w:rsidRPr="002A33E4" w:rsidRDefault="00804382" w:rsidP="00B71424">
      <w:pPr>
        <w:ind w:left="709" w:hanging="284"/>
      </w:pPr>
      <w:bookmarkStart w:id="381" w:name="_Toc63264462"/>
      <w:bookmarkStart w:id="382" w:name="_Toc73477193"/>
      <w:bookmarkEnd w:id="378"/>
      <w:bookmarkEnd w:id="379"/>
      <w:r w:rsidRPr="00C8634C">
        <w:rPr>
          <w:rFonts w:cs="Arial"/>
        </w:rPr>
        <w:t>* Wyjaśnienie: skorzystanie z prawa do sprostowania nie może skutkować zmianą wyniku postępowania o udzielenie zamówienia p</w:t>
      </w:r>
      <w:r w:rsidRPr="00C21381">
        <w:rPr>
          <w:rFonts w:cs="Arial"/>
        </w:rPr>
        <w:t>ublicznego ani zmianą postanowień</w:t>
      </w:r>
      <w:r w:rsidRPr="002A33E4">
        <w:t xml:space="preserve"> umowy w zakresie niezgodnym z ustawą oraz nie może naruszać integralności protokołu oraz jego załączników.</w:t>
      </w:r>
      <w:bookmarkEnd w:id="381"/>
      <w:bookmarkEnd w:id="382"/>
      <w:r w:rsidRPr="002A33E4">
        <w:t xml:space="preserve"> </w:t>
      </w:r>
    </w:p>
    <w:p w:rsidR="00804382" w:rsidRPr="002A33E4" w:rsidRDefault="00804382" w:rsidP="00B71424">
      <w:pPr>
        <w:ind w:left="709" w:hanging="284"/>
      </w:pPr>
      <w:bookmarkStart w:id="383" w:name="_Toc63264463"/>
      <w:bookmarkStart w:id="384" w:name="_Toc73477194"/>
      <w:r w:rsidRPr="002A33E4">
        <w:t>** Wyjaśnienie: prawo do ograniczenia przetwarzania nie ma zastosowania w o</w:t>
      </w:r>
      <w:r w:rsidR="005F1D54" w:rsidRPr="002A33E4">
        <w:t>dniesieniu do przechowywania, w </w:t>
      </w:r>
      <w:r w:rsidRPr="002A33E4">
        <w:t xml:space="preserve">celu zapewnienia korzystania ze środków ochrony prawnej lub w celu </w:t>
      </w:r>
      <w:r w:rsidRPr="002A33E4">
        <w:lastRenderedPageBreak/>
        <w:t>ochrony praw innej osoby fizycznej lub prawnej, lub z uwagi na ważne względy interesu publicznego Unii Europejskiej lub państwa członkowskiego.</w:t>
      </w:r>
      <w:bookmarkEnd w:id="383"/>
      <w:bookmarkEnd w:id="384"/>
    </w:p>
    <w:p w:rsidR="00804382" w:rsidRPr="002A33E4" w:rsidRDefault="00804382" w:rsidP="00142B2B">
      <w:pPr>
        <w:pStyle w:val="Akapitzlist"/>
        <w:numPr>
          <w:ilvl w:val="0"/>
          <w:numId w:val="29"/>
        </w:numPr>
        <w:ind w:left="426"/>
        <w:rPr>
          <w:rFonts w:cs="Arial"/>
        </w:rPr>
      </w:pPr>
      <w:bookmarkStart w:id="385" w:name="_Toc63264464"/>
      <w:bookmarkStart w:id="386"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85"/>
      <w:bookmarkEnd w:id="386"/>
    </w:p>
    <w:p w:rsidR="00C97CB7" w:rsidRDefault="00C97CB7">
      <w:pPr>
        <w:widowControl/>
        <w:autoSpaceDE/>
        <w:autoSpaceDN/>
        <w:jc w:val="left"/>
        <w:rPr>
          <w:rFonts w:cs="Arial"/>
          <w:b/>
          <w:bCs/>
        </w:rPr>
      </w:pPr>
      <w:bookmarkStart w:id="387" w:name="_Toc63264465"/>
      <w:r>
        <w:rPr>
          <w:rFonts w:cs="Arial"/>
          <w:b/>
          <w:bCs/>
        </w:rPr>
        <w:br w:type="page"/>
      </w:r>
    </w:p>
    <w:p w:rsidR="00804382" w:rsidRPr="002A33E4" w:rsidRDefault="00804382" w:rsidP="00C97CB7">
      <w:pPr>
        <w:pStyle w:val="Nagwek1"/>
      </w:pPr>
      <w:bookmarkStart w:id="388" w:name="_Toc73477196"/>
      <w:bookmarkStart w:id="389" w:name="_Toc73477241"/>
      <w:bookmarkStart w:id="390" w:name="_Toc73477528"/>
      <w:bookmarkStart w:id="391" w:name="_Toc73477560"/>
      <w:bookmarkStart w:id="392" w:name="_Toc108419060"/>
      <w:r w:rsidRPr="002A33E4">
        <w:lastRenderedPageBreak/>
        <w:t>Załączniki do</w:t>
      </w:r>
      <w:r w:rsidRPr="002A33E4">
        <w:rPr>
          <w:spacing w:val="-1"/>
        </w:rPr>
        <w:t xml:space="preserve"> </w:t>
      </w:r>
      <w:bookmarkEnd w:id="380"/>
      <w:r w:rsidRPr="002A33E4">
        <w:t>SWZ</w:t>
      </w:r>
      <w:bookmarkEnd w:id="387"/>
      <w:bookmarkEnd w:id="388"/>
      <w:bookmarkEnd w:id="389"/>
      <w:bookmarkEnd w:id="390"/>
      <w:bookmarkEnd w:id="391"/>
      <w:bookmarkEnd w:id="392"/>
    </w:p>
    <w:p w:rsidR="00804382" w:rsidRPr="00C97CB7" w:rsidRDefault="00804382" w:rsidP="000A0B41">
      <w:pPr>
        <w:pStyle w:val="Nagwek3"/>
      </w:pPr>
      <w:bookmarkStart w:id="393" w:name="_Toc73477197"/>
      <w:bookmarkStart w:id="394" w:name="_Toc73477242"/>
      <w:bookmarkStart w:id="395" w:name="_Toc73477529"/>
      <w:bookmarkStart w:id="396" w:name="_Toc73477561"/>
      <w:bookmarkStart w:id="397" w:name="_Toc108419061"/>
      <w:r w:rsidRPr="002A33E4">
        <w:t>Załącznik Nr 1 do SWZ</w:t>
      </w:r>
      <w:r w:rsidR="00C97CB7">
        <w:t xml:space="preserve"> - </w:t>
      </w:r>
      <w:r w:rsidR="00C97CB7" w:rsidRPr="00C97CB7">
        <w:t>FORMULARZ OFERTY</w:t>
      </w:r>
      <w:bookmarkEnd w:id="393"/>
      <w:bookmarkEnd w:id="394"/>
      <w:bookmarkEnd w:id="395"/>
      <w:bookmarkEnd w:id="396"/>
      <w:bookmarkEnd w:id="397"/>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49593C">
      <w:pPr>
        <w:widowControl/>
        <w:numPr>
          <w:ilvl w:val="0"/>
          <w:numId w:val="9"/>
        </w:numPr>
        <w:suppressAutoHyphens/>
        <w:autoSpaceDE/>
        <w:autoSpaceDN/>
        <w:spacing w:after="240"/>
        <w:ind w:left="567" w:hanging="567"/>
        <w:rPr>
          <w:rFonts w:cs="Arial"/>
          <w:lang w:eastAsia="zh-CN"/>
        </w:rPr>
      </w:pPr>
      <w:r w:rsidRPr="002A33E4">
        <w:rPr>
          <w:rFonts w:cs="Arial"/>
          <w:lang w:eastAsia="zh-CN"/>
        </w:rPr>
        <w:t>Oferujemy</w:t>
      </w:r>
      <w:r w:rsidR="008F567D">
        <w:rPr>
          <w:rFonts w:cs="Arial"/>
          <w:lang w:eastAsia="zh-CN"/>
        </w:rPr>
        <w:t xml:space="preserve"> świadczenie</w:t>
      </w:r>
      <w:r w:rsidR="00184F7E">
        <w:rPr>
          <w:rFonts w:cs="Arial"/>
          <w:lang w:eastAsia="zh-CN"/>
        </w:rPr>
        <w:t xml:space="preserve"> </w:t>
      </w:r>
      <w:r w:rsidR="00155351" w:rsidRPr="00155351">
        <w:rPr>
          <w:rFonts w:cs="Arial"/>
          <w:b/>
          <w:bCs/>
          <w:lang w:eastAsia="zh-CN"/>
        </w:rPr>
        <w:t>k</w:t>
      </w:r>
      <w:r w:rsidR="008F567D" w:rsidRPr="00155351">
        <w:rPr>
          <w:rFonts w:cs="Arial"/>
          <w:b/>
          <w:bCs/>
          <w:lang w:eastAsia="zh-CN"/>
        </w:rPr>
        <w:t>ompleksowej obsługi bankowej</w:t>
      </w:r>
      <w:r w:rsidR="009403C6" w:rsidRPr="00155351">
        <w:rPr>
          <w:rFonts w:cs="Arial"/>
          <w:b/>
          <w:bCs/>
          <w:lang w:eastAsia="zh-CN"/>
        </w:rPr>
        <w:t xml:space="preserve"> </w:t>
      </w:r>
      <w:r w:rsidR="00F456B0">
        <w:rPr>
          <w:rFonts w:cs="Arial"/>
          <w:b/>
          <w:bCs/>
          <w:lang w:eastAsia="zh-CN"/>
        </w:rPr>
        <w:t xml:space="preserve">FSUSR </w:t>
      </w:r>
      <w:r w:rsidR="00F456B0" w:rsidRPr="00F456B0">
        <w:rPr>
          <w:b/>
          <w:bCs/>
        </w:rPr>
        <w:t>w latach 2022 – 2025</w:t>
      </w:r>
      <w:r w:rsidR="00F456B0">
        <w:rPr>
          <w:bCs/>
        </w:rPr>
        <w:t xml:space="preserve"> </w:t>
      </w:r>
      <w:r w:rsidR="009403C6" w:rsidRPr="00155351">
        <w:rPr>
          <w:rFonts w:cs="Arial"/>
          <w:bCs/>
          <w:lang w:eastAsia="zh-CN"/>
        </w:rPr>
        <w:t>polegającej na: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9403C6">
            <w:pPr>
              <w:pStyle w:val="Akapitzlist"/>
              <w:suppressAutoHyphens/>
              <w:adjustRightInd w:val="0"/>
              <w:spacing w:before="0"/>
              <w:ind w:left="1418" w:hanging="1418"/>
              <w:rPr>
                <w:rFonts w:cs="Arial"/>
                <w:b/>
              </w:rPr>
            </w:pPr>
            <w:r w:rsidRPr="00155351">
              <w:rPr>
                <w:rFonts w:cs="Arial"/>
                <w:b/>
              </w:rPr>
              <w:t>*</w:t>
            </w:r>
            <w:r w:rsidR="00DF0363" w:rsidRPr="00155351">
              <w:rPr>
                <w:rFonts w:cs="Arial"/>
                <w:b/>
              </w:rPr>
              <w:t xml:space="preserve"> Część </w:t>
            </w:r>
            <w:r w:rsidR="007C45BE" w:rsidRPr="00155351">
              <w:rPr>
                <w:rFonts w:cs="Arial"/>
                <w:b/>
              </w:rPr>
              <w:t>1</w:t>
            </w:r>
            <w:r w:rsidR="00D83F8F" w:rsidRPr="00155351">
              <w:rPr>
                <w:rFonts w:cs="Arial"/>
                <w:b/>
              </w:rPr>
              <w:t xml:space="preserve"> –</w:t>
            </w:r>
            <w:r w:rsidRPr="00155351">
              <w:rPr>
                <w:rFonts w:cs="Arial"/>
                <w:b/>
              </w:rPr>
              <w:t xml:space="preserve"> </w:t>
            </w:r>
            <w:r w:rsidR="009403C6" w:rsidRPr="00155351">
              <w:rPr>
                <w:rFonts w:cs="Arial"/>
                <w:b/>
              </w:rPr>
              <w:t>bieżącej, kompleksowej obsłudze bankowej i lokowaniu wolnych środków finansowych</w:t>
            </w:r>
            <w:r w:rsidR="006F55C3" w:rsidRPr="00155351">
              <w:rPr>
                <w:rFonts w:cs="Arial"/>
                <w:i/>
              </w:rPr>
              <w:t>’</w:t>
            </w:r>
          </w:p>
        </w:tc>
      </w:tr>
    </w:tbl>
    <w:p w:rsidR="009375A9" w:rsidRDefault="009375A9" w:rsidP="00CA15D1">
      <w:pPr>
        <w:pStyle w:val="Akapitzlist"/>
        <w:widowControl/>
        <w:numPr>
          <w:ilvl w:val="1"/>
          <w:numId w:val="13"/>
        </w:numPr>
        <w:suppressAutoHyphens/>
        <w:autoSpaceDE/>
        <w:autoSpaceDN/>
        <w:ind w:left="851"/>
        <w:rPr>
          <w:rFonts w:cs="Arial"/>
          <w:lang w:eastAsia="zh-CN"/>
        </w:rPr>
      </w:pPr>
      <w:r w:rsidRPr="002A33E4">
        <w:rPr>
          <w:rFonts w:cs="Arial"/>
          <w:lang w:eastAsia="zh-CN"/>
        </w:rPr>
        <w:t>Wynagrodzenie całkowite za wykonanie przedmiotu zamówienia wynosi:</w:t>
      </w:r>
    </w:p>
    <w:tbl>
      <w:tblPr>
        <w:tblStyle w:val="Tabela-Siatka1"/>
        <w:tblW w:w="0" w:type="auto"/>
        <w:jc w:val="center"/>
        <w:tblLook w:val="04A0" w:firstRow="1" w:lastRow="0" w:firstColumn="1" w:lastColumn="0" w:noHBand="0" w:noVBand="1"/>
      </w:tblPr>
      <w:tblGrid>
        <w:gridCol w:w="584"/>
        <w:gridCol w:w="3493"/>
        <w:gridCol w:w="1476"/>
        <w:gridCol w:w="792"/>
        <w:gridCol w:w="1894"/>
        <w:gridCol w:w="1615"/>
      </w:tblGrid>
      <w:tr w:rsidR="00F276B7" w:rsidRPr="00CC08B0" w:rsidTr="00191305">
        <w:trPr>
          <w:jc w:val="center"/>
        </w:trPr>
        <w:tc>
          <w:tcPr>
            <w:tcW w:w="584" w:type="dxa"/>
            <w:tcBorders>
              <w:bottom w:val="single" w:sz="4" w:space="0" w:color="auto"/>
            </w:tcBorders>
            <w:vAlign w:val="center"/>
          </w:tcPr>
          <w:p w:rsidR="00F276B7" w:rsidRPr="00FF3F7B" w:rsidRDefault="00F276B7" w:rsidP="004D1177">
            <w:pPr>
              <w:widowControl/>
              <w:autoSpaceDE/>
              <w:autoSpaceDN/>
              <w:spacing w:before="60" w:after="60"/>
              <w:jc w:val="center"/>
              <w:rPr>
                <w:rFonts w:eastAsia="Calibri" w:cs="Arial"/>
                <w:b/>
                <w:sz w:val="20"/>
                <w:szCs w:val="20"/>
              </w:rPr>
            </w:pPr>
            <w:r w:rsidRPr="00FF3F7B">
              <w:rPr>
                <w:rFonts w:eastAsia="Calibri" w:cs="Arial"/>
                <w:b/>
                <w:sz w:val="20"/>
                <w:szCs w:val="20"/>
              </w:rPr>
              <w:t>L.p</w:t>
            </w:r>
            <w:r>
              <w:rPr>
                <w:rFonts w:eastAsia="Calibri" w:cs="Arial"/>
                <w:b/>
                <w:sz w:val="20"/>
                <w:szCs w:val="20"/>
              </w:rPr>
              <w:t>.</w:t>
            </w:r>
          </w:p>
        </w:tc>
        <w:tc>
          <w:tcPr>
            <w:tcW w:w="3493" w:type="dxa"/>
            <w:tcBorders>
              <w:bottom w:val="single" w:sz="4" w:space="0" w:color="auto"/>
            </w:tcBorders>
            <w:vAlign w:val="center"/>
          </w:tcPr>
          <w:p w:rsidR="00F276B7" w:rsidRPr="00CC08B0" w:rsidRDefault="00F276B7" w:rsidP="004D1177">
            <w:pPr>
              <w:widowControl/>
              <w:autoSpaceDE/>
              <w:autoSpaceDN/>
              <w:spacing w:before="60" w:after="60"/>
              <w:jc w:val="center"/>
              <w:rPr>
                <w:rFonts w:eastAsia="Calibri" w:cs="Arial"/>
                <w:b/>
                <w:sz w:val="20"/>
                <w:szCs w:val="20"/>
              </w:rPr>
            </w:pPr>
            <w:r w:rsidRPr="00CC08B0">
              <w:rPr>
                <w:rFonts w:eastAsia="Calibri" w:cs="Arial"/>
                <w:b/>
                <w:sz w:val="20"/>
                <w:szCs w:val="20"/>
              </w:rPr>
              <w:t>Rodzaj usługi</w:t>
            </w:r>
          </w:p>
        </w:tc>
        <w:tc>
          <w:tcPr>
            <w:tcW w:w="1476" w:type="dxa"/>
            <w:tcBorders>
              <w:bottom w:val="single" w:sz="4" w:space="0" w:color="auto"/>
            </w:tcBorders>
            <w:vAlign w:val="center"/>
          </w:tcPr>
          <w:p w:rsidR="00F276B7" w:rsidRPr="00CC08B0" w:rsidRDefault="00F276B7" w:rsidP="004D1177">
            <w:pPr>
              <w:widowControl/>
              <w:autoSpaceDE/>
              <w:autoSpaceDN/>
              <w:spacing w:before="60" w:after="60"/>
              <w:jc w:val="center"/>
              <w:rPr>
                <w:rFonts w:eastAsia="Calibri" w:cs="Arial"/>
                <w:b/>
                <w:sz w:val="20"/>
                <w:szCs w:val="20"/>
              </w:rPr>
            </w:pPr>
            <w:r>
              <w:rPr>
                <w:rFonts w:eastAsia="Calibri" w:cs="Arial"/>
                <w:b/>
                <w:sz w:val="20"/>
                <w:szCs w:val="20"/>
              </w:rPr>
              <w:t>Jednostka miary</w:t>
            </w:r>
          </w:p>
        </w:tc>
        <w:tc>
          <w:tcPr>
            <w:tcW w:w="792" w:type="dxa"/>
            <w:tcBorders>
              <w:bottom w:val="sing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Ilość</w:t>
            </w:r>
          </w:p>
        </w:tc>
        <w:tc>
          <w:tcPr>
            <w:tcW w:w="1894" w:type="dxa"/>
            <w:tcBorders>
              <w:bottom w:val="sing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Cena jednostkowa</w:t>
            </w:r>
            <w:r w:rsidR="00415D4E">
              <w:rPr>
                <w:rFonts w:eastAsia="Calibri" w:cs="Arial"/>
                <w:b/>
                <w:sz w:val="20"/>
                <w:szCs w:val="20"/>
              </w:rPr>
              <w:t xml:space="preserve"> w zł</w:t>
            </w:r>
          </w:p>
        </w:tc>
        <w:tc>
          <w:tcPr>
            <w:tcW w:w="1615" w:type="dxa"/>
            <w:tcBorders>
              <w:bottom w:val="single" w:sz="4" w:space="0" w:color="auto"/>
            </w:tcBorders>
            <w:vAlign w:val="center"/>
          </w:tcPr>
          <w:p w:rsidR="00F276B7" w:rsidRPr="00CC08B0" w:rsidRDefault="00F276B7" w:rsidP="004D1177">
            <w:pPr>
              <w:widowControl/>
              <w:autoSpaceDE/>
              <w:autoSpaceDN/>
              <w:spacing w:before="60" w:after="60"/>
              <w:jc w:val="center"/>
              <w:rPr>
                <w:rFonts w:eastAsia="Calibri" w:cs="Arial"/>
                <w:b/>
                <w:sz w:val="20"/>
                <w:szCs w:val="20"/>
              </w:rPr>
            </w:pPr>
            <w:r>
              <w:rPr>
                <w:rFonts w:eastAsia="Calibri" w:cs="Arial"/>
                <w:b/>
                <w:sz w:val="20"/>
                <w:szCs w:val="20"/>
              </w:rPr>
              <w:t>Wartość w zł</w:t>
            </w:r>
          </w:p>
        </w:tc>
      </w:tr>
      <w:tr w:rsidR="00F276B7" w:rsidRPr="00CC08B0" w:rsidTr="00191305">
        <w:trPr>
          <w:jc w:val="center"/>
        </w:trPr>
        <w:tc>
          <w:tcPr>
            <w:tcW w:w="584" w:type="dxa"/>
            <w:tcBorders>
              <w:bottom w:val="double" w:sz="4" w:space="0" w:color="auto"/>
            </w:tcBorders>
            <w:vAlign w:val="center"/>
          </w:tcPr>
          <w:p w:rsidR="00F276B7" w:rsidRPr="00FF3F7B" w:rsidRDefault="00F276B7" w:rsidP="004D1177">
            <w:pPr>
              <w:widowControl/>
              <w:autoSpaceDE/>
              <w:autoSpaceDN/>
              <w:spacing w:before="60" w:after="60"/>
              <w:jc w:val="center"/>
              <w:rPr>
                <w:rFonts w:eastAsia="Calibri" w:cs="Arial"/>
                <w:b/>
                <w:sz w:val="20"/>
                <w:szCs w:val="20"/>
              </w:rPr>
            </w:pPr>
            <w:r>
              <w:rPr>
                <w:rFonts w:eastAsia="Calibri" w:cs="Arial"/>
                <w:b/>
                <w:sz w:val="20"/>
                <w:szCs w:val="20"/>
              </w:rPr>
              <w:t>a</w:t>
            </w:r>
          </w:p>
        </w:tc>
        <w:tc>
          <w:tcPr>
            <w:tcW w:w="3493" w:type="dxa"/>
            <w:tcBorders>
              <w:bottom w:val="double" w:sz="4" w:space="0" w:color="auto"/>
            </w:tcBorders>
            <w:vAlign w:val="center"/>
          </w:tcPr>
          <w:p w:rsidR="00F276B7" w:rsidRPr="00CC08B0" w:rsidRDefault="00F276B7" w:rsidP="004D1177">
            <w:pPr>
              <w:widowControl/>
              <w:autoSpaceDE/>
              <w:autoSpaceDN/>
              <w:spacing w:before="60" w:after="60"/>
              <w:jc w:val="center"/>
              <w:rPr>
                <w:rFonts w:eastAsia="Calibri" w:cs="Arial"/>
                <w:b/>
                <w:sz w:val="20"/>
                <w:szCs w:val="20"/>
              </w:rPr>
            </w:pPr>
            <w:r>
              <w:rPr>
                <w:rFonts w:eastAsia="Calibri" w:cs="Arial"/>
                <w:b/>
                <w:sz w:val="20"/>
                <w:szCs w:val="20"/>
              </w:rPr>
              <w:t>b</w:t>
            </w:r>
          </w:p>
        </w:tc>
        <w:tc>
          <w:tcPr>
            <w:tcW w:w="1476" w:type="dxa"/>
            <w:tcBorders>
              <w:bottom w:val="doub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c</w:t>
            </w:r>
          </w:p>
        </w:tc>
        <w:tc>
          <w:tcPr>
            <w:tcW w:w="792" w:type="dxa"/>
            <w:tcBorders>
              <w:bottom w:val="doub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d</w:t>
            </w:r>
          </w:p>
        </w:tc>
        <w:tc>
          <w:tcPr>
            <w:tcW w:w="1894" w:type="dxa"/>
            <w:tcBorders>
              <w:bottom w:val="doub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e</w:t>
            </w:r>
          </w:p>
        </w:tc>
        <w:tc>
          <w:tcPr>
            <w:tcW w:w="1615" w:type="dxa"/>
            <w:tcBorders>
              <w:bottom w:val="double" w:sz="4" w:space="0" w:color="auto"/>
            </w:tcBorders>
            <w:vAlign w:val="center"/>
          </w:tcPr>
          <w:p w:rsidR="00F276B7" w:rsidRDefault="00F276B7" w:rsidP="004D1177">
            <w:pPr>
              <w:widowControl/>
              <w:autoSpaceDE/>
              <w:autoSpaceDN/>
              <w:spacing w:before="60" w:after="60"/>
              <w:jc w:val="center"/>
              <w:rPr>
                <w:rFonts w:eastAsia="Calibri" w:cs="Arial"/>
                <w:b/>
                <w:sz w:val="20"/>
                <w:szCs w:val="20"/>
              </w:rPr>
            </w:pPr>
            <w:r>
              <w:rPr>
                <w:rFonts w:eastAsia="Calibri" w:cs="Arial"/>
                <w:b/>
                <w:sz w:val="20"/>
                <w:szCs w:val="20"/>
              </w:rPr>
              <w:t>f = d * e</w:t>
            </w:r>
          </w:p>
        </w:tc>
      </w:tr>
      <w:tr w:rsidR="008E5032" w:rsidRPr="00CC08B0" w:rsidTr="00191305">
        <w:trPr>
          <w:jc w:val="center"/>
        </w:trPr>
        <w:tc>
          <w:tcPr>
            <w:tcW w:w="584" w:type="dxa"/>
            <w:tcBorders>
              <w:top w:val="double" w:sz="4" w:space="0" w:color="auto"/>
            </w:tcBorders>
            <w:vAlign w:val="center"/>
          </w:tcPr>
          <w:p w:rsidR="008E5032" w:rsidRPr="00CC08B0" w:rsidRDefault="008E5032" w:rsidP="004D1177">
            <w:pPr>
              <w:widowControl/>
              <w:autoSpaceDE/>
              <w:autoSpaceDN/>
              <w:spacing w:before="60" w:after="60"/>
              <w:jc w:val="center"/>
              <w:rPr>
                <w:rFonts w:eastAsia="Calibri" w:cs="Arial"/>
                <w:sz w:val="24"/>
                <w:szCs w:val="24"/>
              </w:rPr>
            </w:pPr>
            <w:r w:rsidRPr="00CC08B0">
              <w:rPr>
                <w:rFonts w:eastAsia="Calibri" w:cs="Arial"/>
                <w:sz w:val="24"/>
                <w:szCs w:val="24"/>
              </w:rPr>
              <w:t>1</w:t>
            </w:r>
          </w:p>
        </w:tc>
        <w:tc>
          <w:tcPr>
            <w:tcW w:w="3493" w:type="dxa"/>
            <w:tcBorders>
              <w:top w:val="double" w:sz="4" w:space="0" w:color="auto"/>
            </w:tcBorders>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Otwarcie rachunku</w:t>
            </w:r>
            <w:r>
              <w:rPr>
                <w:rFonts w:eastAsia="Calibri" w:cs="Arial"/>
                <w:sz w:val="20"/>
                <w:szCs w:val="20"/>
              </w:rPr>
              <w:t xml:space="preserve"> </w:t>
            </w:r>
          </w:p>
        </w:tc>
        <w:tc>
          <w:tcPr>
            <w:tcW w:w="1476" w:type="dxa"/>
            <w:tcBorders>
              <w:top w:val="double" w:sz="4" w:space="0" w:color="auto"/>
            </w:tcBorders>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jednorazowo</w:t>
            </w:r>
          </w:p>
        </w:tc>
        <w:tc>
          <w:tcPr>
            <w:tcW w:w="792" w:type="dxa"/>
            <w:tcBorders>
              <w:top w:val="double" w:sz="4" w:space="0" w:color="auto"/>
            </w:tcBorders>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w:t>
            </w:r>
          </w:p>
        </w:tc>
        <w:tc>
          <w:tcPr>
            <w:tcW w:w="1894" w:type="dxa"/>
            <w:tcBorders>
              <w:top w:val="double" w:sz="4" w:space="0" w:color="auto"/>
            </w:tcBorders>
            <w:vAlign w:val="center"/>
          </w:tcPr>
          <w:p w:rsidR="008E5032" w:rsidRPr="006E1F96" w:rsidRDefault="008E5032" w:rsidP="0070067B">
            <w:pPr>
              <w:widowControl/>
              <w:autoSpaceDE/>
              <w:autoSpaceDN/>
              <w:spacing w:before="60" w:after="60"/>
              <w:jc w:val="center"/>
              <w:rPr>
                <w:rFonts w:eastAsia="Calibri" w:cs="Arial"/>
                <w:color w:val="0070C0"/>
                <w:sz w:val="20"/>
                <w:szCs w:val="20"/>
              </w:rPr>
            </w:pPr>
            <w:r w:rsidRPr="006E1F96">
              <w:rPr>
                <w:rFonts w:eastAsia="Calibri" w:cs="Arial"/>
                <w:color w:val="0070C0"/>
                <w:sz w:val="20"/>
                <w:szCs w:val="20"/>
              </w:rPr>
              <w:t>…………….</w:t>
            </w:r>
          </w:p>
        </w:tc>
        <w:tc>
          <w:tcPr>
            <w:tcW w:w="1615" w:type="dxa"/>
            <w:tcBorders>
              <w:top w:val="double" w:sz="4" w:space="0" w:color="auto"/>
            </w:tcBorders>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2</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P</w:t>
            </w:r>
            <w:r w:rsidRPr="00CC08B0">
              <w:rPr>
                <w:rFonts w:eastAsia="Calibri" w:cs="Arial"/>
                <w:sz w:val="20"/>
                <w:szCs w:val="20"/>
              </w:rPr>
              <w:t>rowadzenie rachunku</w:t>
            </w:r>
            <w:r>
              <w:rPr>
                <w:rFonts w:eastAsia="Calibri" w:cs="Arial"/>
                <w:sz w:val="20"/>
                <w:szCs w:val="20"/>
              </w:rPr>
              <w:t xml:space="preserve"> </w:t>
            </w:r>
          </w:p>
        </w:tc>
        <w:tc>
          <w:tcPr>
            <w:tcW w:w="1476" w:type="dxa"/>
            <w:vAlign w:val="center"/>
          </w:tcPr>
          <w:p w:rsidR="008E5032" w:rsidRPr="00CC08B0" w:rsidDel="003D0767" w:rsidRDefault="008E5032" w:rsidP="004D1177">
            <w:pPr>
              <w:widowControl/>
              <w:autoSpaceDE/>
              <w:autoSpaceDN/>
              <w:spacing w:before="60" w:after="60"/>
              <w:jc w:val="center"/>
              <w:rPr>
                <w:rFonts w:eastAsia="Calibri" w:cs="Arial"/>
                <w:sz w:val="20"/>
                <w:szCs w:val="20"/>
              </w:rPr>
            </w:pPr>
            <w:r>
              <w:rPr>
                <w:rFonts w:eastAsia="Calibri" w:cs="Arial"/>
                <w:sz w:val="20"/>
                <w:szCs w:val="20"/>
              </w:rPr>
              <w:t>miesięcznie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3</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 xml:space="preserve">Przelew </w:t>
            </w:r>
            <w:proofErr w:type="spellStart"/>
            <w:r w:rsidRPr="00CC08B0">
              <w:rPr>
                <w:rFonts w:eastAsia="Calibri" w:cs="Arial"/>
                <w:sz w:val="20"/>
                <w:szCs w:val="20"/>
              </w:rPr>
              <w:t>elixir</w:t>
            </w:r>
            <w:proofErr w:type="spellEnd"/>
          </w:p>
        </w:tc>
        <w:tc>
          <w:tcPr>
            <w:tcW w:w="1476" w:type="dxa"/>
            <w:vAlign w:val="center"/>
          </w:tcPr>
          <w:p w:rsidR="008E5032" w:rsidRPr="00CC08B0" w:rsidRDefault="008E5032" w:rsidP="00F276B7">
            <w:pPr>
              <w:widowControl/>
              <w:autoSpaceDE/>
              <w:autoSpaceDN/>
              <w:spacing w:before="60" w:after="60"/>
              <w:jc w:val="center"/>
              <w:rPr>
                <w:rFonts w:eastAsia="Calibri" w:cs="Arial"/>
                <w:sz w:val="20"/>
                <w:szCs w:val="20"/>
              </w:rPr>
            </w:pPr>
            <w:r>
              <w:rPr>
                <w:rFonts w:eastAsia="Calibri" w:cs="Arial"/>
                <w:sz w:val="20"/>
                <w:szCs w:val="20"/>
              </w:rPr>
              <w:t>1 szt.</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120</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4</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 xml:space="preserve">Przelew express </w:t>
            </w:r>
            <w:proofErr w:type="spellStart"/>
            <w:r>
              <w:rPr>
                <w:rFonts w:eastAsia="Calibri" w:cs="Arial"/>
                <w:sz w:val="20"/>
                <w:szCs w:val="20"/>
              </w:rPr>
              <w:t>elixir</w:t>
            </w:r>
            <w:proofErr w:type="spellEnd"/>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1 szt.</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120</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5</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 xml:space="preserve">Przelew </w:t>
            </w:r>
            <w:proofErr w:type="spellStart"/>
            <w:r>
              <w:rPr>
                <w:rFonts w:eastAsia="Calibri" w:cs="Arial"/>
                <w:sz w:val="20"/>
                <w:szCs w:val="20"/>
              </w:rPr>
              <w:t>sorbnet</w:t>
            </w:r>
            <w:proofErr w:type="spellEnd"/>
            <w:r>
              <w:rPr>
                <w:rFonts w:eastAsia="Calibri" w:cs="Arial"/>
                <w:sz w:val="20"/>
                <w:szCs w:val="20"/>
              </w:rPr>
              <w:t xml:space="preserve"> </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1 szt.</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120</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6</w:t>
            </w:r>
          </w:p>
        </w:tc>
        <w:tc>
          <w:tcPr>
            <w:tcW w:w="3493" w:type="dxa"/>
            <w:vAlign w:val="center"/>
          </w:tcPr>
          <w:p w:rsidR="00191305"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Utrzymanie wysokiego salda w PLN</w:t>
            </w:r>
          </w:p>
          <w:p w:rsidR="008E5032" w:rsidRPr="00C4769A" w:rsidRDefault="00191305" w:rsidP="00191305">
            <w:pPr>
              <w:widowControl/>
              <w:autoSpaceDE/>
              <w:autoSpaceDN/>
              <w:spacing w:before="60" w:after="60"/>
              <w:jc w:val="center"/>
              <w:rPr>
                <w:rFonts w:eastAsia="Calibri" w:cs="Arial"/>
                <w:color w:val="0070C0"/>
                <w:sz w:val="20"/>
                <w:szCs w:val="20"/>
              </w:rPr>
            </w:pPr>
            <w:r w:rsidRPr="00C4769A">
              <w:rPr>
                <w:rFonts w:eastAsia="Calibri" w:cs="Arial"/>
                <w:color w:val="0070C0"/>
                <w:sz w:val="20"/>
                <w:szCs w:val="20"/>
              </w:rPr>
              <w:t>(założenie - od kwoty 100 mln zł)</w:t>
            </w:r>
            <w:r w:rsidR="008E5032" w:rsidRPr="00C4769A">
              <w:rPr>
                <w:rFonts w:eastAsia="Calibri" w:cs="Arial"/>
                <w:color w:val="0070C0"/>
                <w:sz w:val="20"/>
                <w:szCs w:val="20"/>
              </w:rPr>
              <w:t xml:space="preserve"> </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miesięcznie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7</w:t>
            </w:r>
          </w:p>
        </w:tc>
        <w:tc>
          <w:tcPr>
            <w:tcW w:w="3493" w:type="dxa"/>
            <w:vAlign w:val="center"/>
          </w:tcPr>
          <w:p w:rsidR="00191305"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Utrzymanie wysokiego salda w PLN</w:t>
            </w:r>
          </w:p>
          <w:p w:rsidR="008E5032" w:rsidRPr="00C4769A" w:rsidRDefault="00191305" w:rsidP="004D1177">
            <w:pPr>
              <w:widowControl/>
              <w:autoSpaceDE/>
              <w:autoSpaceDN/>
              <w:spacing w:before="60" w:after="60"/>
              <w:jc w:val="center"/>
              <w:rPr>
                <w:rFonts w:eastAsia="Calibri" w:cs="Arial"/>
                <w:color w:val="0070C0"/>
                <w:sz w:val="20"/>
                <w:szCs w:val="20"/>
              </w:rPr>
            </w:pPr>
            <w:r w:rsidRPr="00C4769A">
              <w:rPr>
                <w:rFonts w:eastAsia="Calibri" w:cs="Arial"/>
                <w:color w:val="0070C0"/>
                <w:sz w:val="20"/>
                <w:szCs w:val="20"/>
              </w:rPr>
              <w:t>(założenie - od kwoty 100 mln zł)</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rocznie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8</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Bankowość elektroniczna</w:t>
            </w:r>
            <w:r>
              <w:rPr>
                <w:rFonts w:eastAsia="Calibri" w:cs="Arial"/>
                <w:sz w:val="20"/>
                <w:szCs w:val="20"/>
              </w:rPr>
              <w:t xml:space="preserve"> </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miesięcznie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9</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Zaświadczenie</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1 szt.</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Del="003D0767" w:rsidRDefault="008E5032" w:rsidP="004D1177">
            <w:pPr>
              <w:widowControl/>
              <w:autoSpaceDE/>
              <w:autoSpaceDN/>
              <w:spacing w:before="60" w:after="60"/>
              <w:jc w:val="center"/>
              <w:rPr>
                <w:rFonts w:eastAsia="Calibri" w:cs="Arial"/>
                <w:sz w:val="24"/>
                <w:szCs w:val="24"/>
              </w:rPr>
            </w:pPr>
            <w:r>
              <w:rPr>
                <w:rFonts w:eastAsia="Calibri" w:cs="Arial"/>
                <w:sz w:val="24"/>
                <w:szCs w:val="24"/>
              </w:rPr>
              <w:t>10</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O</w:t>
            </w:r>
            <w:r w:rsidRPr="00CC08B0">
              <w:rPr>
                <w:rFonts w:eastAsia="Calibri" w:cs="Arial"/>
                <w:sz w:val="20"/>
                <w:szCs w:val="20"/>
              </w:rPr>
              <w:t>pinia bankowa</w:t>
            </w:r>
            <w:r>
              <w:rPr>
                <w:rFonts w:eastAsia="Calibri" w:cs="Arial"/>
                <w:sz w:val="20"/>
                <w:szCs w:val="20"/>
              </w:rPr>
              <w:t xml:space="preserve"> </w:t>
            </w:r>
          </w:p>
        </w:tc>
        <w:tc>
          <w:tcPr>
            <w:tcW w:w="1476" w:type="dxa"/>
            <w:vAlign w:val="center"/>
          </w:tcPr>
          <w:p w:rsidR="008E5032" w:rsidRPr="00CC08B0" w:rsidDel="003D0767" w:rsidRDefault="008E5032" w:rsidP="004D1177">
            <w:pPr>
              <w:widowControl/>
              <w:autoSpaceDE/>
              <w:autoSpaceDN/>
              <w:spacing w:before="60" w:after="60"/>
              <w:jc w:val="center"/>
              <w:rPr>
                <w:rFonts w:eastAsia="Calibri" w:cs="Arial"/>
                <w:sz w:val="20"/>
                <w:szCs w:val="20"/>
              </w:rPr>
            </w:pPr>
            <w:r>
              <w:rPr>
                <w:rFonts w:eastAsia="Calibri" w:cs="Arial"/>
                <w:sz w:val="20"/>
                <w:szCs w:val="20"/>
              </w:rPr>
              <w:t>1 szt.</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11</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Lokata O/N (usługa</w:t>
            </w:r>
            <w:r w:rsidR="00C4769A">
              <w:rPr>
                <w:rFonts w:eastAsia="Calibri" w:cs="Arial"/>
                <w:sz w:val="20"/>
                <w:szCs w:val="20"/>
              </w:rPr>
              <w:t>)</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miesięcznie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C08B0" w:rsidTr="00191305">
        <w:trPr>
          <w:jc w:val="center"/>
        </w:trPr>
        <w:tc>
          <w:tcPr>
            <w:tcW w:w="584" w:type="dxa"/>
            <w:vAlign w:val="center"/>
          </w:tcPr>
          <w:p w:rsidR="008E5032" w:rsidRPr="00CC08B0" w:rsidRDefault="008E5032" w:rsidP="004D1177">
            <w:pPr>
              <w:widowControl/>
              <w:autoSpaceDE/>
              <w:autoSpaceDN/>
              <w:spacing w:before="60" w:after="60"/>
              <w:jc w:val="center"/>
              <w:rPr>
                <w:rFonts w:eastAsia="Calibri" w:cs="Arial"/>
                <w:sz w:val="24"/>
                <w:szCs w:val="24"/>
              </w:rPr>
            </w:pPr>
            <w:r>
              <w:rPr>
                <w:rFonts w:eastAsia="Calibri" w:cs="Arial"/>
                <w:sz w:val="24"/>
                <w:szCs w:val="24"/>
              </w:rPr>
              <w:t>12</w:t>
            </w:r>
          </w:p>
        </w:tc>
        <w:tc>
          <w:tcPr>
            <w:tcW w:w="3493"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CC08B0">
              <w:rPr>
                <w:rFonts w:eastAsia="Calibri" w:cs="Arial"/>
                <w:sz w:val="20"/>
                <w:szCs w:val="20"/>
              </w:rPr>
              <w:t>Narzędzia aut</w:t>
            </w:r>
            <w:r>
              <w:rPr>
                <w:rFonts w:eastAsia="Calibri" w:cs="Arial"/>
                <w:sz w:val="20"/>
                <w:szCs w:val="20"/>
              </w:rPr>
              <w:t>oryzacyjne do bankowości elektronicznej</w:t>
            </w:r>
          </w:p>
        </w:tc>
        <w:tc>
          <w:tcPr>
            <w:tcW w:w="1476" w:type="dxa"/>
            <w:vAlign w:val="center"/>
          </w:tcPr>
          <w:p w:rsidR="008E5032" w:rsidRPr="00CC08B0" w:rsidRDefault="008E5032" w:rsidP="004D1177">
            <w:pPr>
              <w:widowControl/>
              <w:autoSpaceDE/>
              <w:autoSpaceDN/>
              <w:spacing w:before="60" w:after="60"/>
              <w:jc w:val="center"/>
              <w:rPr>
                <w:rFonts w:eastAsia="Calibri" w:cs="Arial"/>
                <w:sz w:val="20"/>
                <w:szCs w:val="20"/>
              </w:rPr>
            </w:pPr>
            <w:r>
              <w:rPr>
                <w:rFonts w:eastAsia="Calibri" w:cs="Arial"/>
                <w:sz w:val="20"/>
                <w:szCs w:val="20"/>
              </w:rPr>
              <w:t>miesięcznie</w:t>
            </w:r>
          </w:p>
        </w:tc>
        <w:tc>
          <w:tcPr>
            <w:tcW w:w="792" w:type="dxa"/>
            <w:vAlign w:val="center"/>
          </w:tcPr>
          <w:p w:rsidR="008E5032" w:rsidRPr="006E1F96" w:rsidRDefault="008E5032" w:rsidP="004D1177">
            <w:pPr>
              <w:widowControl/>
              <w:autoSpaceDE/>
              <w:autoSpaceDN/>
              <w:spacing w:before="60" w:after="60"/>
              <w:jc w:val="center"/>
              <w:rPr>
                <w:rFonts w:eastAsia="Calibri" w:cs="Arial"/>
                <w:color w:val="0070C0"/>
                <w:sz w:val="20"/>
                <w:szCs w:val="20"/>
              </w:rPr>
            </w:pPr>
            <w:r>
              <w:rPr>
                <w:rFonts w:eastAsia="Calibri" w:cs="Arial"/>
                <w:color w:val="0070C0"/>
                <w:sz w:val="20"/>
                <w:szCs w:val="20"/>
              </w:rPr>
              <w:t>12</w:t>
            </w:r>
          </w:p>
        </w:tc>
        <w:tc>
          <w:tcPr>
            <w:tcW w:w="1894" w:type="dxa"/>
            <w:vAlign w:val="center"/>
          </w:tcPr>
          <w:p w:rsidR="008E5032" w:rsidRPr="00CC08B0" w:rsidRDefault="008E5032" w:rsidP="0070067B">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c>
          <w:tcPr>
            <w:tcW w:w="1615" w:type="dxa"/>
            <w:vAlign w:val="center"/>
          </w:tcPr>
          <w:p w:rsidR="008E5032" w:rsidRPr="00CC08B0" w:rsidRDefault="008E5032" w:rsidP="004D1177">
            <w:pPr>
              <w:widowControl/>
              <w:autoSpaceDE/>
              <w:autoSpaceDN/>
              <w:spacing w:before="60" w:after="60"/>
              <w:jc w:val="center"/>
              <w:rPr>
                <w:rFonts w:eastAsia="Calibri" w:cs="Arial"/>
                <w:sz w:val="20"/>
                <w:szCs w:val="20"/>
              </w:rPr>
            </w:pPr>
            <w:r w:rsidRPr="006E1F96">
              <w:rPr>
                <w:rFonts w:eastAsia="Calibri" w:cs="Arial"/>
                <w:color w:val="0070C0"/>
                <w:sz w:val="20"/>
                <w:szCs w:val="20"/>
              </w:rPr>
              <w:t>…………….</w:t>
            </w:r>
          </w:p>
        </w:tc>
      </w:tr>
      <w:tr w:rsidR="008E5032" w:rsidRPr="00C12AA2" w:rsidTr="0070067B">
        <w:trPr>
          <w:jc w:val="center"/>
        </w:trPr>
        <w:tc>
          <w:tcPr>
            <w:tcW w:w="8239" w:type="dxa"/>
            <w:gridSpan w:val="5"/>
            <w:vAlign w:val="center"/>
          </w:tcPr>
          <w:p w:rsidR="008E5032" w:rsidRPr="006E1F96" w:rsidRDefault="008E5032" w:rsidP="00142B2B">
            <w:pPr>
              <w:widowControl/>
              <w:autoSpaceDE/>
              <w:autoSpaceDN/>
              <w:spacing w:before="60" w:after="60"/>
              <w:jc w:val="center"/>
              <w:rPr>
                <w:rFonts w:eastAsia="Calibri" w:cs="Arial"/>
                <w:color w:val="0070C0"/>
                <w:sz w:val="20"/>
                <w:szCs w:val="20"/>
              </w:rPr>
            </w:pPr>
            <w:r>
              <w:rPr>
                <w:rFonts w:eastAsia="Calibri" w:cs="Arial"/>
                <w:b/>
                <w:sz w:val="20"/>
                <w:szCs w:val="20"/>
              </w:rPr>
              <w:t xml:space="preserve">Wynagrodzenie </w:t>
            </w:r>
            <w:r w:rsidRPr="00C12AA2">
              <w:rPr>
                <w:rFonts w:eastAsia="Calibri" w:cs="Arial"/>
                <w:b/>
                <w:sz w:val="20"/>
                <w:szCs w:val="20"/>
              </w:rPr>
              <w:t>Łączne</w:t>
            </w:r>
            <w:r>
              <w:rPr>
                <w:rFonts w:eastAsia="Calibri" w:cs="Arial"/>
                <w:b/>
                <w:sz w:val="20"/>
                <w:szCs w:val="20"/>
              </w:rPr>
              <w:t xml:space="preserve"> </w:t>
            </w:r>
            <w:r w:rsidR="00142B2B">
              <w:rPr>
                <w:rFonts w:eastAsia="Calibri" w:cs="Arial"/>
                <w:b/>
                <w:sz w:val="20"/>
                <w:szCs w:val="20"/>
              </w:rPr>
              <w:t xml:space="preserve">- </w:t>
            </w:r>
            <w:r>
              <w:rPr>
                <w:rFonts w:eastAsia="Calibri" w:cs="Arial"/>
                <w:b/>
                <w:sz w:val="20"/>
                <w:szCs w:val="20"/>
              </w:rPr>
              <w:t>w okresie 1 roku</w:t>
            </w:r>
          </w:p>
        </w:tc>
        <w:tc>
          <w:tcPr>
            <w:tcW w:w="1615" w:type="dxa"/>
            <w:vAlign w:val="center"/>
          </w:tcPr>
          <w:p w:rsidR="008E5032" w:rsidRPr="00C12AA2" w:rsidRDefault="008E5032" w:rsidP="004D1177">
            <w:pPr>
              <w:widowControl/>
              <w:autoSpaceDE/>
              <w:autoSpaceDN/>
              <w:spacing w:before="60" w:after="60"/>
              <w:jc w:val="center"/>
              <w:rPr>
                <w:rFonts w:eastAsia="Calibri" w:cs="Arial"/>
                <w:b/>
                <w:sz w:val="20"/>
                <w:szCs w:val="20"/>
              </w:rPr>
            </w:pPr>
            <w:r w:rsidRPr="006E1F96">
              <w:rPr>
                <w:rFonts w:eastAsia="Calibri" w:cs="Arial"/>
                <w:color w:val="0070C0"/>
                <w:sz w:val="20"/>
                <w:szCs w:val="20"/>
              </w:rPr>
              <w:t>…………….</w:t>
            </w:r>
          </w:p>
        </w:tc>
      </w:tr>
    </w:tbl>
    <w:p w:rsidR="009E66C2" w:rsidRPr="002A33E4" w:rsidRDefault="009E66C2" w:rsidP="00BD54B5">
      <w:pPr>
        <w:pStyle w:val="Akapitzlist"/>
        <w:widowControl/>
        <w:suppressAutoHyphens/>
        <w:autoSpaceDE/>
        <w:autoSpaceDN/>
        <w:spacing w:before="0"/>
        <w:ind w:left="1077"/>
        <w:rPr>
          <w:rFonts w:cs="Arial"/>
          <w:lang w:eastAsia="zh-CN"/>
        </w:rPr>
      </w:pPr>
    </w:p>
    <w:p w:rsidR="00910969" w:rsidRPr="00910969" w:rsidRDefault="0012445B" w:rsidP="00CA15D1">
      <w:pPr>
        <w:pStyle w:val="Akapitzlist"/>
        <w:widowControl/>
        <w:numPr>
          <w:ilvl w:val="1"/>
          <w:numId w:val="13"/>
        </w:numPr>
        <w:suppressAutoHyphens/>
        <w:autoSpaceDE/>
        <w:autoSpaceDN/>
        <w:ind w:left="851"/>
        <w:rPr>
          <w:rFonts w:cs="Arial"/>
          <w:lang w:eastAsia="zh-CN"/>
        </w:rPr>
      </w:pPr>
      <w:r w:rsidRPr="00381B7B">
        <w:rPr>
          <w:rFonts w:cs="Arial"/>
          <w:b/>
          <w:color w:val="0070C0"/>
          <w:lang w:eastAsia="zh-CN"/>
        </w:rPr>
        <w:t xml:space="preserve">Wykonawca gwarantuje niezmienność ww. cen w okresie </w:t>
      </w:r>
      <w:r w:rsidR="009D41D2">
        <w:rPr>
          <w:rFonts w:cs="Arial"/>
          <w:b/>
          <w:color w:val="0070C0"/>
          <w:lang w:eastAsia="zh-CN"/>
        </w:rPr>
        <w:t>12</w:t>
      </w:r>
      <w:r w:rsidR="009D41D2" w:rsidRPr="00381B7B">
        <w:rPr>
          <w:rFonts w:cs="Arial"/>
          <w:b/>
          <w:color w:val="0070C0"/>
          <w:lang w:eastAsia="zh-CN"/>
        </w:rPr>
        <w:t xml:space="preserve"> </w:t>
      </w:r>
      <w:r w:rsidR="00B71D55" w:rsidRPr="00381B7B">
        <w:rPr>
          <w:rFonts w:cs="Arial"/>
          <w:b/>
          <w:color w:val="0070C0"/>
          <w:lang w:eastAsia="zh-CN"/>
        </w:rPr>
        <w:t>m-</w:t>
      </w:r>
      <w:proofErr w:type="spellStart"/>
      <w:r w:rsidR="00B71D55" w:rsidRPr="00381B7B">
        <w:rPr>
          <w:rFonts w:cs="Arial"/>
          <w:b/>
          <w:color w:val="0070C0"/>
          <w:lang w:eastAsia="zh-CN"/>
        </w:rPr>
        <w:t>cy</w:t>
      </w:r>
      <w:proofErr w:type="spellEnd"/>
      <w:r w:rsidR="00B71D55" w:rsidRPr="00381B7B">
        <w:rPr>
          <w:rFonts w:cs="Arial"/>
          <w:color w:val="0070C0"/>
          <w:lang w:eastAsia="zh-CN"/>
        </w:rPr>
        <w:t xml:space="preserve"> </w:t>
      </w:r>
      <w:r w:rsidRPr="00381B7B">
        <w:rPr>
          <w:rFonts w:cs="Arial"/>
          <w:color w:val="0070C0"/>
          <w:lang w:eastAsia="zh-CN"/>
        </w:rPr>
        <w:t xml:space="preserve">od zawarcia umowy. </w:t>
      </w:r>
      <w:r w:rsidR="00910969" w:rsidRPr="00381B7B">
        <w:rPr>
          <w:rFonts w:cs="Arial"/>
          <w:color w:val="0070C0"/>
          <w:lang w:eastAsia="zh-CN"/>
        </w:rPr>
        <w:t>Podane wyżej ceny zawierają wszystkie koszty Wykonawcy, w tym</w:t>
      </w:r>
      <w:r w:rsidR="00910969" w:rsidRPr="00910969">
        <w:rPr>
          <w:rFonts w:cs="Arial"/>
          <w:lang w:eastAsia="zh-CN"/>
        </w:rPr>
        <w:t xml:space="preserve"> m.in.:</w:t>
      </w:r>
    </w:p>
    <w:p w:rsidR="00910969" w:rsidRPr="00910969" w:rsidRDefault="00910969" w:rsidP="00142B2B">
      <w:pPr>
        <w:pStyle w:val="Akapitzlist"/>
        <w:numPr>
          <w:ilvl w:val="0"/>
          <w:numId w:val="33"/>
        </w:numPr>
        <w:spacing w:before="0"/>
        <w:ind w:hanging="357"/>
        <w:rPr>
          <w:rFonts w:cs="Arial"/>
          <w:lang w:eastAsia="zh-CN"/>
        </w:rPr>
      </w:pPr>
      <w:r w:rsidRPr="00910969">
        <w:rPr>
          <w:rFonts w:cs="Arial"/>
          <w:lang w:eastAsia="zh-CN"/>
        </w:rPr>
        <w:lastRenderedPageBreak/>
        <w:t xml:space="preserve">wzrost kosztów wynagrodzenia od </w:t>
      </w:r>
      <w:r w:rsidR="002865A7">
        <w:rPr>
          <w:rFonts w:cs="Arial"/>
          <w:lang w:eastAsia="zh-CN"/>
        </w:rPr>
        <w:t>czerwca</w:t>
      </w:r>
      <w:r w:rsidR="002865A7" w:rsidRPr="00910969">
        <w:rPr>
          <w:rFonts w:cs="Arial"/>
          <w:lang w:eastAsia="zh-CN"/>
        </w:rPr>
        <w:t xml:space="preserve"> </w:t>
      </w:r>
      <w:r w:rsidRPr="00910969">
        <w:rPr>
          <w:rFonts w:cs="Arial"/>
          <w:lang w:eastAsia="zh-CN"/>
        </w:rPr>
        <w:t>2022 r.</w:t>
      </w:r>
    </w:p>
    <w:p w:rsidR="00910969" w:rsidRPr="00910969" w:rsidRDefault="00910969" w:rsidP="00142B2B">
      <w:pPr>
        <w:pStyle w:val="Akapitzlist"/>
        <w:numPr>
          <w:ilvl w:val="0"/>
          <w:numId w:val="33"/>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Default="00910969" w:rsidP="00142B2B">
      <w:pPr>
        <w:pStyle w:val="Akapitzlist"/>
        <w:widowControl/>
        <w:numPr>
          <w:ilvl w:val="0"/>
          <w:numId w:val="33"/>
        </w:numPr>
        <w:suppressAutoHyphens/>
        <w:autoSpaceDE/>
        <w:autoSpaceDN/>
        <w:spacing w:before="0"/>
        <w:ind w:hanging="357"/>
        <w:rPr>
          <w:rFonts w:cs="Arial"/>
          <w:lang w:eastAsia="zh-CN"/>
        </w:rPr>
      </w:pPr>
      <w:r w:rsidRPr="00E82646">
        <w:rPr>
          <w:rFonts w:cs="Arial"/>
          <w:lang w:eastAsia="zh-CN"/>
        </w:rPr>
        <w:t>inne uwzględnione w PPU.</w:t>
      </w:r>
    </w:p>
    <w:p w:rsidR="00F8797F" w:rsidRDefault="00CC5D51" w:rsidP="00CA15D1">
      <w:pPr>
        <w:pStyle w:val="Akapitzlist"/>
        <w:widowControl/>
        <w:numPr>
          <w:ilvl w:val="1"/>
          <w:numId w:val="13"/>
        </w:numPr>
        <w:suppressAutoHyphens/>
        <w:autoSpaceDE/>
        <w:autoSpaceDN/>
        <w:ind w:left="851"/>
        <w:rPr>
          <w:rFonts w:cs="Arial"/>
          <w:lang w:eastAsia="zh-CN"/>
        </w:rPr>
      </w:pPr>
      <w:r w:rsidRPr="003615AE">
        <w:rPr>
          <w:rFonts w:cs="Arial"/>
          <w:b/>
          <w:lang w:eastAsia="zh-CN"/>
        </w:rPr>
        <w:t>W</w:t>
      </w:r>
      <w:r w:rsidR="00794203" w:rsidRPr="003615AE">
        <w:rPr>
          <w:rFonts w:cs="Arial"/>
          <w:b/>
          <w:lang w:eastAsia="zh-CN"/>
        </w:rPr>
        <w:t>ysokoś</w:t>
      </w:r>
      <w:r w:rsidRPr="003615AE">
        <w:rPr>
          <w:rFonts w:cs="Arial"/>
          <w:b/>
          <w:lang w:eastAsia="zh-CN"/>
        </w:rPr>
        <w:t>ć</w:t>
      </w:r>
      <w:r w:rsidR="00794203" w:rsidRPr="003615AE">
        <w:rPr>
          <w:rFonts w:cs="Arial"/>
          <w:b/>
          <w:lang w:eastAsia="zh-CN"/>
        </w:rPr>
        <w:t xml:space="preserve"> oprocentowania negocjowanych lokat terminowych</w:t>
      </w:r>
      <w:r w:rsidR="00794203">
        <w:rPr>
          <w:rFonts w:cs="Arial"/>
          <w:lang w:eastAsia="zh-CN"/>
        </w:rPr>
        <w:t xml:space="preserve"> wynos</w:t>
      </w:r>
      <w:r w:rsidR="003C1237">
        <w:rPr>
          <w:rFonts w:cs="Arial"/>
          <w:lang w:eastAsia="zh-CN"/>
        </w:rPr>
        <w:t>i</w:t>
      </w:r>
      <w:r w:rsidR="00794203">
        <w:rPr>
          <w:rFonts w:cs="Arial"/>
          <w:lang w:eastAsia="zh-CN"/>
        </w:rPr>
        <w:t>:</w:t>
      </w:r>
    </w:p>
    <w:tbl>
      <w:tblPr>
        <w:tblStyle w:val="Tabela-Siatka2"/>
        <w:tblW w:w="0" w:type="auto"/>
        <w:jc w:val="center"/>
        <w:tblLook w:val="04A0" w:firstRow="1" w:lastRow="0" w:firstColumn="1" w:lastColumn="0" w:noHBand="0" w:noVBand="1"/>
      </w:tblPr>
      <w:tblGrid>
        <w:gridCol w:w="817"/>
        <w:gridCol w:w="2253"/>
        <w:gridCol w:w="3869"/>
      </w:tblGrid>
      <w:tr w:rsidR="00CA6146" w:rsidRPr="004E357B" w:rsidTr="00EA3403">
        <w:trPr>
          <w:jc w:val="center"/>
        </w:trPr>
        <w:tc>
          <w:tcPr>
            <w:tcW w:w="817" w:type="dxa"/>
            <w:vAlign w:val="center"/>
          </w:tcPr>
          <w:p w:rsidR="00CA6146" w:rsidRPr="004E357B" w:rsidRDefault="00566199" w:rsidP="00566199">
            <w:pPr>
              <w:widowControl/>
              <w:autoSpaceDE/>
              <w:autoSpaceDN/>
              <w:spacing w:before="120" w:after="120"/>
              <w:jc w:val="center"/>
              <w:rPr>
                <w:rFonts w:eastAsia="Calibri" w:cs="Arial"/>
                <w:b/>
                <w:sz w:val="24"/>
                <w:szCs w:val="24"/>
              </w:rPr>
            </w:pPr>
            <w:proofErr w:type="spellStart"/>
            <w:r>
              <w:rPr>
                <w:rFonts w:eastAsia="Calibri" w:cs="Arial"/>
                <w:b/>
                <w:sz w:val="24"/>
                <w:szCs w:val="24"/>
              </w:rPr>
              <w:t>L</w:t>
            </w:r>
            <w:r w:rsidR="00CA6146" w:rsidRPr="004E357B">
              <w:rPr>
                <w:rFonts w:eastAsia="Calibri" w:cs="Arial"/>
                <w:b/>
                <w:sz w:val="24"/>
                <w:szCs w:val="24"/>
              </w:rPr>
              <w:t>p</w:t>
            </w:r>
            <w:proofErr w:type="spellEnd"/>
          </w:p>
        </w:tc>
        <w:tc>
          <w:tcPr>
            <w:tcW w:w="2253" w:type="dxa"/>
            <w:vAlign w:val="center"/>
          </w:tcPr>
          <w:p w:rsidR="00CA6146" w:rsidRPr="004E357B" w:rsidRDefault="00CA6146" w:rsidP="004E357B">
            <w:pPr>
              <w:widowControl/>
              <w:autoSpaceDE/>
              <w:autoSpaceDN/>
              <w:spacing w:before="120" w:after="120"/>
              <w:jc w:val="center"/>
              <w:rPr>
                <w:rFonts w:eastAsia="Calibri" w:cs="Arial"/>
                <w:b/>
                <w:sz w:val="20"/>
                <w:szCs w:val="20"/>
              </w:rPr>
            </w:pPr>
            <w:r w:rsidRPr="004E357B">
              <w:rPr>
                <w:rFonts w:eastAsia="Calibri" w:cs="Arial"/>
                <w:b/>
                <w:sz w:val="20"/>
                <w:szCs w:val="20"/>
              </w:rPr>
              <w:t>Rodzaj usługi</w:t>
            </w:r>
          </w:p>
        </w:tc>
        <w:tc>
          <w:tcPr>
            <w:tcW w:w="3869" w:type="dxa"/>
            <w:vAlign w:val="center"/>
          </w:tcPr>
          <w:p w:rsidR="00CA6146" w:rsidRPr="004E357B" w:rsidRDefault="00CA6146" w:rsidP="00F80E75">
            <w:pPr>
              <w:widowControl/>
              <w:autoSpaceDE/>
              <w:autoSpaceDN/>
              <w:spacing w:before="120" w:after="120"/>
              <w:jc w:val="center"/>
              <w:rPr>
                <w:rFonts w:eastAsia="Calibri" w:cs="Arial"/>
                <w:b/>
                <w:sz w:val="20"/>
                <w:szCs w:val="20"/>
              </w:rPr>
            </w:pPr>
            <w:r w:rsidRPr="004E357B">
              <w:rPr>
                <w:rFonts w:eastAsia="Calibri" w:cs="Arial"/>
                <w:b/>
                <w:sz w:val="20"/>
                <w:szCs w:val="20"/>
              </w:rPr>
              <w:t xml:space="preserve">Wysokość </w:t>
            </w:r>
            <w:r w:rsidR="004E357B">
              <w:rPr>
                <w:rFonts w:eastAsia="Calibri" w:cs="Arial"/>
                <w:b/>
                <w:sz w:val="20"/>
                <w:szCs w:val="20"/>
              </w:rPr>
              <w:t>o</w:t>
            </w:r>
            <w:r w:rsidRPr="004E357B">
              <w:rPr>
                <w:rFonts w:eastAsia="Calibri" w:cs="Arial"/>
                <w:b/>
                <w:sz w:val="20"/>
                <w:szCs w:val="20"/>
              </w:rPr>
              <w:t>procentowania</w:t>
            </w:r>
            <w:r w:rsidR="00F80E75">
              <w:rPr>
                <w:rFonts w:eastAsia="Calibri" w:cs="Arial"/>
                <w:b/>
                <w:sz w:val="20"/>
                <w:szCs w:val="20"/>
              </w:rPr>
              <w:t xml:space="preserve"> aktualnego na dzień składania ofert</w:t>
            </w:r>
          </w:p>
        </w:tc>
      </w:tr>
      <w:tr w:rsidR="00CA6146" w:rsidRPr="004E357B" w:rsidTr="00EA3403">
        <w:trPr>
          <w:jc w:val="center"/>
        </w:trPr>
        <w:tc>
          <w:tcPr>
            <w:tcW w:w="817" w:type="dxa"/>
            <w:vAlign w:val="center"/>
          </w:tcPr>
          <w:p w:rsidR="00CA6146" w:rsidRPr="004E357B" w:rsidRDefault="00CA6146" w:rsidP="004E357B">
            <w:pPr>
              <w:widowControl/>
              <w:autoSpaceDE/>
              <w:autoSpaceDN/>
              <w:spacing w:before="120" w:after="120"/>
              <w:jc w:val="center"/>
              <w:rPr>
                <w:rFonts w:eastAsia="Calibri" w:cs="Arial"/>
                <w:sz w:val="20"/>
                <w:szCs w:val="20"/>
              </w:rPr>
            </w:pPr>
            <w:r w:rsidRPr="004E357B">
              <w:rPr>
                <w:rFonts w:eastAsia="Calibri" w:cs="Arial"/>
                <w:sz w:val="20"/>
                <w:szCs w:val="20"/>
              </w:rPr>
              <w:t>4</w:t>
            </w:r>
          </w:p>
        </w:tc>
        <w:tc>
          <w:tcPr>
            <w:tcW w:w="2253" w:type="dxa"/>
            <w:vAlign w:val="center"/>
          </w:tcPr>
          <w:p w:rsidR="00CA6146" w:rsidRPr="004E357B" w:rsidRDefault="00CA6146" w:rsidP="00695893">
            <w:pPr>
              <w:widowControl/>
              <w:autoSpaceDE/>
              <w:autoSpaceDN/>
              <w:spacing w:before="120" w:after="120"/>
              <w:jc w:val="center"/>
              <w:rPr>
                <w:rFonts w:eastAsia="Calibri" w:cs="Arial"/>
                <w:sz w:val="20"/>
                <w:szCs w:val="20"/>
              </w:rPr>
            </w:pPr>
            <w:r w:rsidRPr="004E357B">
              <w:rPr>
                <w:rFonts w:eastAsia="Calibri" w:cs="Arial"/>
                <w:sz w:val="20"/>
                <w:szCs w:val="20"/>
              </w:rPr>
              <w:t xml:space="preserve">Lokata </w:t>
            </w:r>
            <w:r w:rsidR="00695893">
              <w:rPr>
                <w:rFonts w:eastAsia="Calibri" w:cs="Arial"/>
                <w:sz w:val="20"/>
                <w:szCs w:val="20"/>
              </w:rPr>
              <w:t>1M</w:t>
            </w:r>
          </w:p>
        </w:tc>
        <w:tc>
          <w:tcPr>
            <w:tcW w:w="3869" w:type="dxa"/>
            <w:vAlign w:val="center"/>
          </w:tcPr>
          <w:p w:rsidR="00CA6146" w:rsidRPr="008305EB" w:rsidRDefault="00CA6146" w:rsidP="004E357B">
            <w:pPr>
              <w:widowControl/>
              <w:autoSpaceDE/>
              <w:autoSpaceDN/>
              <w:spacing w:before="120" w:after="120"/>
              <w:jc w:val="center"/>
              <w:rPr>
                <w:rFonts w:eastAsia="Calibri" w:cs="Arial"/>
                <w:b/>
                <w:color w:val="0070C0"/>
                <w:sz w:val="20"/>
                <w:szCs w:val="20"/>
              </w:rPr>
            </w:pPr>
            <w:r w:rsidRPr="008305EB">
              <w:rPr>
                <w:rFonts w:eastAsia="Calibri" w:cs="Arial"/>
                <w:b/>
                <w:color w:val="0070C0"/>
                <w:sz w:val="20"/>
                <w:szCs w:val="20"/>
              </w:rPr>
              <w:t>…….%</w:t>
            </w:r>
          </w:p>
        </w:tc>
      </w:tr>
    </w:tbl>
    <w:p w:rsidR="00F8797F" w:rsidRPr="00F80E75" w:rsidRDefault="00F00CCC" w:rsidP="00FF2863">
      <w:pPr>
        <w:pStyle w:val="Akapitzlist"/>
        <w:widowControl/>
        <w:suppressAutoHyphens/>
        <w:autoSpaceDE/>
        <w:autoSpaceDN/>
        <w:spacing w:before="0"/>
        <w:ind w:left="1134"/>
        <w:rPr>
          <w:rFonts w:cs="Arial"/>
          <w:i/>
          <w:lang w:eastAsia="zh-CN"/>
        </w:rPr>
      </w:pPr>
      <w:r w:rsidRPr="00F80E75">
        <w:rPr>
          <w:i/>
        </w:rPr>
        <w:t>(stawka oprocentowania lokaty terminowej służy jedynie do ustalenia klasyfikacji ofert)</w:t>
      </w:r>
    </w:p>
    <w:p w:rsidR="008646B8" w:rsidRPr="00024791" w:rsidRDefault="00024791" w:rsidP="00CA15D1">
      <w:pPr>
        <w:pStyle w:val="Akapitzlist"/>
        <w:widowControl/>
        <w:numPr>
          <w:ilvl w:val="1"/>
          <w:numId w:val="13"/>
        </w:numPr>
        <w:suppressAutoHyphens/>
        <w:autoSpaceDE/>
        <w:autoSpaceDN/>
        <w:ind w:left="851"/>
        <w:rPr>
          <w:rFonts w:cs="Arial"/>
          <w:lang w:eastAsia="zh-CN"/>
        </w:rPr>
      </w:pPr>
      <w:r w:rsidRPr="00024791">
        <w:rPr>
          <w:rFonts w:cs="Arial"/>
          <w:lang w:eastAsia="zh-CN"/>
        </w:rPr>
        <w:t xml:space="preserve">Oświadczenie </w:t>
      </w:r>
      <w:r w:rsidR="008646B8" w:rsidRPr="00024791">
        <w:rPr>
          <w:rFonts w:cs="Arial"/>
          <w:lang w:eastAsia="zh-CN"/>
        </w:rPr>
        <w:t>o mechanizmie odwróconego VAT</w:t>
      </w:r>
      <w:r w:rsidRPr="00F00CCC">
        <w:rPr>
          <w:rFonts w:cs="Arial"/>
          <w:lang w:eastAsia="zh-CN"/>
        </w:rPr>
        <w:t xml:space="preserve"> </w:t>
      </w:r>
      <w:r w:rsidRPr="00684298">
        <w:rPr>
          <w:rFonts w:cs="Arial"/>
          <w:color w:val="0070C0"/>
          <w:lang w:eastAsia="zh-CN"/>
        </w:rPr>
        <w:t xml:space="preserve">- </w:t>
      </w:r>
      <w:r w:rsidR="004B273A" w:rsidRPr="00684298">
        <w:rPr>
          <w:rFonts w:cs="Arial"/>
          <w:color w:val="0070C0"/>
          <w:lang w:eastAsia="zh-CN"/>
        </w:rPr>
        <w:t xml:space="preserve">zgodnie z art. </w:t>
      </w:r>
      <w:r w:rsidR="004B273A" w:rsidRPr="00684298">
        <w:rPr>
          <w:rStyle w:val="hgkelc"/>
          <w:color w:val="0070C0"/>
        </w:rPr>
        <w:t xml:space="preserve">43 ust. 1 pkt 40 Ustawy o </w:t>
      </w:r>
      <w:r w:rsidR="004B273A" w:rsidRPr="00684298">
        <w:rPr>
          <w:rStyle w:val="hgkelc"/>
          <w:b/>
          <w:bCs/>
          <w:color w:val="0070C0"/>
        </w:rPr>
        <w:t>VAT</w:t>
      </w:r>
      <w:r w:rsidR="004B273A" w:rsidRPr="00684298">
        <w:rPr>
          <w:rStyle w:val="hgkelc"/>
          <w:color w:val="0070C0"/>
        </w:rPr>
        <w:t xml:space="preserve">, zwalnia się od </w:t>
      </w:r>
      <w:r w:rsidR="004B273A" w:rsidRPr="00684298">
        <w:rPr>
          <w:rStyle w:val="hgkelc"/>
          <w:b/>
          <w:bCs/>
          <w:color w:val="0070C0"/>
        </w:rPr>
        <w:t>podatku usługi</w:t>
      </w:r>
      <w:r w:rsidR="004B273A" w:rsidRPr="00684298">
        <w:rPr>
          <w:rStyle w:val="hgkelc"/>
          <w:color w:val="0070C0"/>
        </w:rPr>
        <w:t xml:space="preserve"> w zakresie depozytów środków pieniężnych, prowadzenia rachunków pieniężnych, wszelkiego rodzaju transakcji płatniczych, przekazów i transferów pieniężnych, długów, czeków i weksli oraz </w:t>
      </w:r>
      <w:r w:rsidR="004B273A" w:rsidRPr="00684298">
        <w:rPr>
          <w:rStyle w:val="hgkelc"/>
          <w:b/>
          <w:bCs/>
          <w:color w:val="0070C0"/>
        </w:rPr>
        <w:t>usługi</w:t>
      </w:r>
      <w:r w:rsidR="004B273A" w:rsidRPr="00684298">
        <w:rPr>
          <w:rStyle w:val="hgkelc"/>
          <w:color w:val="0070C0"/>
        </w:rPr>
        <w:t xml:space="preserve"> pośrednictwa w świadczeniu tych </w:t>
      </w:r>
      <w:r w:rsidR="004B273A" w:rsidRPr="00684298">
        <w:rPr>
          <w:rStyle w:val="hgkelc"/>
          <w:b/>
          <w:bCs/>
          <w:color w:val="0070C0"/>
        </w:rPr>
        <w:t>usłu</w:t>
      </w:r>
      <w:r w:rsidRPr="00684298">
        <w:rPr>
          <w:rStyle w:val="hgkelc"/>
          <w:b/>
          <w:bCs/>
          <w:color w:val="0070C0"/>
        </w:rPr>
        <w:t>g</w:t>
      </w:r>
      <w:r w:rsidRPr="00024791">
        <w:rPr>
          <w:rStyle w:val="hgkelc"/>
          <w:b/>
          <w:bCs/>
        </w:rPr>
        <w:t>.</w:t>
      </w:r>
    </w:p>
    <w:p w:rsidR="0078383E" w:rsidRDefault="0078383E" w:rsidP="00085C42">
      <w:pPr>
        <w:widowControl/>
        <w:suppressAutoHyphens/>
        <w:autoSpaceDE/>
        <w:autoSpaceDN/>
        <w:rPr>
          <w:rFonts w:cs="Arial"/>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1F41B5">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2</w:t>
            </w:r>
            <w:r w:rsidR="00253FCE" w:rsidRPr="002A33E4">
              <w:rPr>
                <w:rFonts w:cs="Arial"/>
                <w:b/>
              </w:rPr>
              <w:t xml:space="preserve"> </w:t>
            </w:r>
            <w:r w:rsidRPr="002A33E4">
              <w:rPr>
                <w:rFonts w:cs="Arial"/>
                <w:b/>
              </w:rPr>
              <w:t>–</w:t>
            </w:r>
            <w:r>
              <w:rPr>
                <w:rFonts w:cs="Arial"/>
                <w:b/>
              </w:rPr>
              <w:t xml:space="preserve"> </w:t>
            </w:r>
            <w:r w:rsidR="009403C6" w:rsidRPr="00155351">
              <w:rPr>
                <w:rFonts w:cs="Arial"/>
                <w:b/>
              </w:rPr>
              <w:t>bieżącej, kompleksowej obsłudze bankowej i lokowaniu wolnych środków finansowych</w:t>
            </w:r>
          </w:p>
        </w:tc>
      </w:tr>
    </w:tbl>
    <w:p w:rsidR="00142B2B" w:rsidRPr="00142B2B" w:rsidRDefault="00142B2B" w:rsidP="00142B2B">
      <w:pPr>
        <w:pStyle w:val="Akapitzlist"/>
        <w:widowControl/>
        <w:numPr>
          <w:ilvl w:val="0"/>
          <w:numId w:val="42"/>
        </w:numPr>
        <w:suppressAutoHyphens/>
        <w:autoSpaceDE/>
        <w:autoSpaceDN/>
        <w:rPr>
          <w:rFonts w:cs="Arial"/>
          <w:lang w:eastAsia="zh-CN"/>
        </w:rPr>
      </w:pPr>
      <w:r w:rsidRPr="00142B2B">
        <w:rPr>
          <w:rFonts w:cs="Arial"/>
          <w:lang w:eastAsia="zh-CN"/>
        </w:rPr>
        <w:t>Wynagrodzenie całkowite za wykonanie przedmiotu zamówienia wynosi:</w:t>
      </w:r>
    </w:p>
    <w:tbl>
      <w:tblPr>
        <w:tblStyle w:val="Tabela-Siatka1"/>
        <w:tblW w:w="0" w:type="auto"/>
        <w:jc w:val="center"/>
        <w:tblLook w:val="04A0" w:firstRow="1" w:lastRow="0" w:firstColumn="1" w:lastColumn="0" w:noHBand="0" w:noVBand="1"/>
      </w:tblPr>
      <w:tblGrid>
        <w:gridCol w:w="584"/>
        <w:gridCol w:w="3493"/>
        <w:gridCol w:w="1476"/>
        <w:gridCol w:w="792"/>
        <w:gridCol w:w="1894"/>
        <w:gridCol w:w="1615"/>
      </w:tblGrid>
      <w:tr w:rsidR="00142B2B" w:rsidRPr="00142B2B" w:rsidTr="0070067B">
        <w:trPr>
          <w:jc w:val="center"/>
        </w:trPr>
        <w:tc>
          <w:tcPr>
            <w:tcW w:w="584"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L.p.</w:t>
            </w:r>
          </w:p>
        </w:tc>
        <w:tc>
          <w:tcPr>
            <w:tcW w:w="3493"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Rodzaj usługi</w:t>
            </w:r>
          </w:p>
        </w:tc>
        <w:tc>
          <w:tcPr>
            <w:tcW w:w="1476"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Jednostka miary</w:t>
            </w:r>
          </w:p>
        </w:tc>
        <w:tc>
          <w:tcPr>
            <w:tcW w:w="792"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Ilość</w:t>
            </w:r>
          </w:p>
        </w:tc>
        <w:tc>
          <w:tcPr>
            <w:tcW w:w="1894"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Cena jednostkowa w zł</w:t>
            </w:r>
          </w:p>
        </w:tc>
        <w:tc>
          <w:tcPr>
            <w:tcW w:w="1615" w:type="dxa"/>
            <w:tcBorders>
              <w:bottom w:val="sing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Wartość w zł</w:t>
            </w:r>
          </w:p>
        </w:tc>
      </w:tr>
      <w:tr w:rsidR="00142B2B" w:rsidRPr="00142B2B" w:rsidTr="0070067B">
        <w:trPr>
          <w:jc w:val="center"/>
        </w:trPr>
        <w:tc>
          <w:tcPr>
            <w:tcW w:w="584"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a</w:t>
            </w:r>
          </w:p>
        </w:tc>
        <w:tc>
          <w:tcPr>
            <w:tcW w:w="3493"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b</w:t>
            </w:r>
          </w:p>
        </w:tc>
        <w:tc>
          <w:tcPr>
            <w:tcW w:w="1476"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c</w:t>
            </w:r>
          </w:p>
        </w:tc>
        <w:tc>
          <w:tcPr>
            <w:tcW w:w="792"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d</w:t>
            </w:r>
          </w:p>
        </w:tc>
        <w:tc>
          <w:tcPr>
            <w:tcW w:w="1894"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e</w:t>
            </w:r>
          </w:p>
        </w:tc>
        <w:tc>
          <w:tcPr>
            <w:tcW w:w="1615" w:type="dxa"/>
            <w:tcBorders>
              <w:bottom w:val="double" w:sz="4" w:space="0" w:color="auto"/>
            </w:tcBorders>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b/>
                <w:sz w:val="20"/>
                <w:szCs w:val="20"/>
              </w:rPr>
              <w:t>f = d * e</w:t>
            </w:r>
          </w:p>
        </w:tc>
      </w:tr>
      <w:tr w:rsidR="00142B2B" w:rsidRPr="00142B2B" w:rsidTr="0070067B">
        <w:trPr>
          <w:jc w:val="center"/>
        </w:trPr>
        <w:tc>
          <w:tcPr>
            <w:tcW w:w="584"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1</w:t>
            </w:r>
          </w:p>
        </w:tc>
        <w:tc>
          <w:tcPr>
            <w:tcW w:w="3493"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Otwarcie rachunku </w:t>
            </w:r>
          </w:p>
        </w:tc>
        <w:tc>
          <w:tcPr>
            <w:tcW w:w="1476"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jednorazowo</w:t>
            </w:r>
          </w:p>
        </w:tc>
        <w:tc>
          <w:tcPr>
            <w:tcW w:w="792"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w:t>
            </w:r>
          </w:p>
        </w:tc>
        <w:tc>
          <w:tcPr>
            <w:tcW w:w="1894"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w:t>
            </w:r>
          </w:p>
        </w:tc>
        <w:tc>
          <w:tcPr>
            <w:tcW w:w="1615" w:type="dxa"/>
            <w:tcBorders>
              <w:top w:val="double" w:sz="4" w:space="0" w:color="auto"/>
            </w:tcBorders>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2</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Prowadzenie rachunku </w:t>
            </w:r>
          </w:p>
        </w:tc>
        <w:tc>
          <w:tcPr>
            <w:tcW w:w="1476" w:type="dxa"/>
            <w:vAlign w:val="center"/>
          </w:tcPr>
          <w:p w:rsidR="00142B2B" w:rsidRPr="00142B2B" w:rsidDel="003D0767"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miesięcznie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3</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Przelew </w:t>
            </w:r>
            <w:proofErr w:type="spellStart"/>
            <w:r w:rsidRPr="00142B2B">
              <w:rPr>
                <w:rFonts w:eastAsia="Calibri" w:cs="Arial"/>
                <w:sz w:val="20"/>
                <w:szCs w:val="20"/>
              </w:rPr>
              <w:t>elixir</w:t>
            </w:r>
            <w:proofErr w:type="spellEnd"/>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1 szt.</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120</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4</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Przelew express </w:t>
            </w:r>
            <w:proofErr w:type="spellStart"/>
            <w:r w:rsidRPr="00142B2B">
              <w:rPr>
                <w:rFonts w:eastAsia="Calibri" w:cs="Arial"/>
                <w:sz w:val="20"/>
                <w:szCs w:val="20"/>
              </w:rPr>
              <w:t>elixir</w:t>
            </w:r>
            <w:proofErr w:type="spellEnd"/>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1 szt.</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120</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5</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Przelew </w:t>
            </w:r>
            <w:proofErr w:type="spellStart"/>
            <w:r w:rsidRPr="00142B2B">
              <w:rPr>
                <w:rFonts w:eastAsia="Calibri" w:cs="Arial"/>
                <w:sz w:val="20"/>
                <w:szCs w:val="20"/>
              </w:rPr>
              <w:t>sorbnet</w:t>
            </w:r>
            <w:proofErr w:type="spellEnd"/>
            <w:r w:rsidRPr="00142B2B">
              <w:rPr>
                <w:rFonts w:eastAsia="Calibri" w:cs="Arial"/>
                <w:sz w:val="20"/>
                <w:szCs w:val="20"/>
              </w:rPr>
              <w:t xml:space="preserve"> </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1 szt.</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120</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6</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Utrzymanie wysokiego salda w PLN</w:t>
            </w:r>
          </w:p>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 xml:space="preserve">(założenie - od kwoty 100 mln zł) </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miesięcznie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7</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Utrzymanie wysokiego salda w PLN</w:t>
            </w:r>
          </w:p>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 xml:space="preserve">(założenie - od kwoty 100 mln zł)  </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rocznie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8</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Bankowość elektroniczna </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miesięcznie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9</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Zaświadczenie</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1 szt.</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Del="003D0767"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10</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Opinia bankowa </w:t>
            </w:r>
          </w:p>
        </w:tc>
        <w:tc>
          <w:tcPr>
            <w:tcW w:w="1476" w:type="dxa"/>
            <w:vAlign w:val="center"/>
          </w:tcPr>
          <w:p w:rsidR="00142B2B" w:rsidRPr="00142B2B" w:rsidDel="003D0767"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1 szt.</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11</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 xml:space="preserve">Lokata O/N (usługa) - </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miesięcznie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584" w:type="dxa"/>
            <w:vAlign w:val="center"/>
          </w:tcPr>
          <w:p w:rsidR="00142B2B" w:rsidRPr="00142B2B" w:rsidRDefault="00142B2B" w:rsidP="00142B2B">
            <w:pPr>
              <w:widowControl/>
              <w:autoSpaceDE/>
              <w:autoSpaceDN/>
              <w:spacing w:before="60" w:after="60"/>
              <w:jc w:val="center"/>
              <w:rPr>
                <w:rFonts w:eastAsia="Calibri" w:cs="Arial"/>
                <w:sz w:val="24"/>
                <w:szCs w:val="24"/>
              </w:rPr>
            </w:pPr>
            <w:r w:rsidRPr="00142B2B">
              <w:rPr>
                <w:rFonts w:eastAsia="Calibri" w:cs="Arial"/>
                <w:sz w:val="24"/>
                <w:szCs w:val="24"/>
              </w:rPr>
              <w:t>12</w:t>
            </w:r>
          </w:p>
        </w:tc>
        <w:tc>
          <w:tcPr>
            <w:tcW w:w="3493"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Narzędzia autoryzacyjne do bankowości elektronicznej</w:t>
            </w:r>
          </w:p>
        </w:tc>
        <w:tc>
          <w:tcPr>
            <w:tcW w:w="1476"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sz w:val="20"/>
                <w:szCs w:val="20"/>
              </w:rPr>
              <w:t>miesięcznie</w:t>
            </w:r>
          </w:p>
        </w:tc>
        <w:tc>
          <w:tcPr>
            <w:tcW w:w="792" w:type="dxa"/>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color w:val="0070C0"/>
                <w:sz w:val="20"/>
                <w:szCs w:val="20"/>
              </w:rPr>
              <w:t>12</w:t>
            </w:r>
          </w:p>
        </w:tc>
        <w:tc>
          <w:tcPr>
            <w:tcW w:w="1894"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c>
          <w:tcPr>
            <w:tcW w:w="1615" w:type="dxa"/>
            <w:vAlign w:val="center"/>
          </w:tcPr>
          <w:p w:rsidR="00142B2B" w:rsidRPr="00142B2B" w:rsidRDefault="00142B2B" w:rsidP="00142B2B">
            <w:pPr>
              <w:widowControl/>
              <w:autoSpaceDE/>
              <w:autoSpaceDN/>
              <w:spacing w:before="60" w:after="60"/>
              <w:jc w:val="center"/>
              <w:rPr>
                <w:rFonts w:eastAsia="Calibri" w:cs="Arial"/>
                <w:sz w:val="20"/>
                <w:szCs w:val="20"/>
              </w:rPr>
            </w:pPr>
            <w:r w:rsidRPr="00142B2B">
              <w:rPr>
                <w:rFonts w:eastAsia="Calibri" w:cs="Arial"/>
                <w:color w:val="0070C0"/>
                <w:sz w:val="20"/>
                <w:szCs w:val="20"/>
              </w:rPr>
              <w:t>…………….</w:t>
            </w:r>
          </w:p>
        </w:tc>
      </w:tr>
      <w:tr w:rsidR="00142B2B" w:rsidRPr="00142B2B" w:rsidTr="0070067B">
        <w:trPr>
          <w:jc w:val="center"/>
        </w:trPr>
        <w:tc>
          <w:tcPr>
            <w:tcW w:w="8239" w:type="dxa"/>
            <w:gridSpan w:val="5"/>
            <w:vAlign w:val="center"/>
          </w:tcPr>
          <w:p w:rsidR="00142B2B" w:rsidRPr="00142B2B" w:rsidRDefault="00142B2B" w:rsidP="00142B2B">
            <w:pPr>
              <w:widowControl/>
              <w:autoSpaceDE/>
              <w:autoSpaceDN/>
              <w:spacing w:before="60" w:after="60"/>
              <w:jc w:val="center"/>
              <w:rPr>
                <w:rFonts w:eastAsia="Calibri" w:cs="Arial"/>
                <w:color w:val="0070C0"/>
                <w:sz w:val="20"/>
                <w:szCs w:val="20"/>
              </w:rPr>
            </w:pPr>
            <w:r w:rsidRPr="00142B2B">
              <w:rPr>
                <w:rFonts w:eastAsia="Calibri" w:cs="Arial"/>
                <w:b/>
                <w:sz w:val="20"/>
                <w:szCs w:val="20"/>
              </w:rPr>
              <w:t xml:space="preserve">Wynagrodzenie </w:t>
            </w:r>
            <w:r>
              <w:rPr>
                <w:rFonts w:eastAsia="Calibri" w:cs="Arial"/>
                <w:b/>
                <w:sz w:val="20"/>
                <w:szCs w:val="20"/>
              </w:rPr>
              <w:t>Łączn</w:t>
            </w:r>
            <w:r w:rsidRPr="00142B2B">
              <w:rPr>
                <w:rFonts w:eastAsia="Calibri" w:cs="Arial"/>
                <w:b/>
                <w:sz w:val="20"/>
                <w:szCs w:val="20"/>
              </w:rPr>
              <w:t>e</w:t>
            </w:r>
            <w:r>
              <w:rPr>
                <w:rFonts w:eastAsia="Calibri" w:cs="Arial"/>
                <w:b/>
                <w:sz w:val="20"/>
                <w:szCs w:val="20"/>
              </w:rPr>
              <w:t xml:space="preserve"> -</w:t>
            </w:r>
            <w:r w:rsidRPr="00142B2B">
              <w:rPr>
                <w:rFonts w:eastAsia="Calibri" w:cs="Arial"/>
                <w:b/>
                <w:sz w:val="20"/>
                <w:szCs w:val="20"/>
              </w:rPr>
              <w:t xml:space="preserve"> w okresie 1 roku</w:t>
            </w:r>
          </w:p>
        </w:tc>
        <w:tc>
          <w:tcPr>
            <w:tcW w:w="1615" w:type="dxa"/>
            <w:vAlign w:val="center"/>
          </w:tcPr>
          <w:p w:rsidR="00142B2B" w:rsidRPr="00142B2B" w:rsidRDefault="00142B2B" w:rsidP="00142B2B">
            <w:pPr>
              <w:widowControl/>
              <w:autoSpaceDE/>
              <w:autoSpaceDN/>
              <w:spacing w:before="60" w:after="60"/>
              <w:jc w:val="center"/>
              <w:rPr>
                <w:rFonts w:eastAsia="Calibri" w:cs="Arial"/>
                <w:b/>
                <w:sz w:val="20"/>
                <w:szCs w:val="20"/>
              </w:rPr>
            </w:pPr>
            <w:r w:rsidRPr="00142B2B">
              <w:rPr>
                <w:rFonts w:eastAsia="Calibri" w:cs="Arial"/>
                <w:color w:val="0070C0"/>
                <w:sz w:val="20"/>
                <w:szCs w:val="20"/>
              </w:rPr>
              <w:t>…………….</w:t>
            </w:r>
          </w:p>
        </w:tc>
      </w:tr>
    </w:tbl>
    <w:p w:rsidR="00142B2B" w:rsidRPr="00142B2B" w:rsidRDefault="00142B2B" w:rsidP="00142B2B">
      <w:pPr>
        <w:widowControl/>
        <w:suppressAutoHyphens/>
        <w:autoSpaceDE/>
        <w:autoSpaceDN/>
        <w:ind w:left="1077"/>
        <w:rPr>
          <w:rFonts w:cs="Arial"/>
          <w:lang w:eastAsia="zh-CN"/>
        </w:rPr>
      </w:pPr>
    </w:p>
    <w:p w:rsidR="00142B2B" w:rsidRPr="00142B2B" w:rsidRDefault="00142B2B" w:rsidP="00142B2B">
      <w:pPr>
        <w:pStyle w:val="Akapitzlist"/>
        <w:widowControl/>
        <w:numPr>
          <w:ilvl w:val="0"/>
          <w:numId w:val="42"/>
        </w:numPr>
        <w:suppressAutoHyphens/>
        <w:autoSpaceDE/>
        <w:autoSpaceDN/>
        <w:rPr>
          <w:rFonts w:cs="Arial"/>
          <w:lang w:eastAsia="zh-CN"/>
        </w:rPr>
      </w:pPr>
      <w:r w:rsidRPr="00142B2B">
        <w:rPr>
          <w:rFonts w:cs="Arial"/>
          <w:b/>
          <w:color w:val="0070C0"/>
          <w:lang w:eastAsia="zh-CN"/>
        </w:rPr>
        <w:t xml:space="preserve">Wykonawca gwarantuje niezmienność ww. cen w okresie </w:t>
      </w:r>
      <w:r w:rsidR="009D41D2">
        <w:rPr>
          <w:rFonts w:cs="Arial"/>
          <w:b/>
          <w:color w:val="0070C0"/>
          <w:lang w:eastAsia="zh-CN"/>
        </w:rPr>
        <w:t>12</w:t>
      </w:r>
      <w:r w:rsidR="009D41D2" w:rsidRPr="00142B2B">
        <w:rPr>
          <w:rFonts w:cs="Arial"/>
          <w:b/>
          <w:color w:val="0070C0"/>
          <w:lang w:eastAsia="zh-CN"/>
        </w:rPr>
        <w:t xml:space="preserve"> </w:t>
      </w:r>
      <w:r w:rsidRPr="00142B2B">
        <w:rPr>
          <w:rFonts w:cs="Arial"/>
          <w:b/>
          <w:color w:val="0070C0"/>
          <w:lang w:eastAsia="zh-CN"/>
        </w:rPr>
        <w:t>m-</w:t>
      </w:r>
      <w:proofErr w:type="spellStart"/>
      <w:r w:rsidRPr="00142B2B">
        <w:rPr>
          <w:rFonts w:cs="Arial"/>
          <w:b/>
          <w:color w:val="0070C0"/>
          <w:lang w:eastAsia="zh-CN"/>
        </w:rPr>
        <w:t>cy</w:t>
      </w:r>
      <w:proofErr w:type="spellEnd"/>
      <w:r w:rsidRPr="00142B2B">
        <w:rPr>
          <w:rFonts w:cs="Arial"/>
          <w:color w:val="0070C0"/>
          <w:lang w:eastAsia="zh-CN"/>
        </w:rPr>
        <w:t xml:space="preserve"> od zawarcia umowy. Podane wyżej ceny zawierają wszystkie koszty Wykonawcy, w tym</w:t>
      </w:r>
      <w:r w:rsidRPr="00142B2B">
        <w:rPr>
          <w:rFonts w:cs="Arial"/>
          <w:lang w:eastAsia="zh-CN"/>
        </w:rPr>
        <w:t xml:space="preserve"> m.in.:</w:t>
      </w:r>
    </w:p>
    <w:p w:rsidR="00142B2B" w:rsidRPr="00142B2B" w:rsidRDefault="00142B2B" w:rsidP="00142B2B">
      <w:pPr>
        <w:numPr>
          <w:ilvl w:val="0"/>
          <w:numId w:val="33"/>
        </w:numPr>
        <w:ind w:hanging="357"/>
        <w:rPr>
          <w:rFonts w:cs="Arial"/>
          <w:lang w:eastAsia="zh-CN"/>
        </w:rPr>
      </w:pPr>
      <w:r w:rsidRPr="00142B2B">
        <w:rPr>
          <w:rFonts w:cs="Arial"/>
          <w:lang w:eastAsia="zh-CN"/>
        </w:rPr>
        <w:t>wzrost kosztów wynagrodzenia od czerwca 2022 r.</w:t>
      </w:r>
    </w:p>
    <w:p w:rsidR="00142B2B" w:rsidRPr="00142B2B" w:rsidRDefault="00142B2B" w:rsidP="00142B2B">
      <w:pPr>
        <w:numPr>
          <w:ilvl w:val="0"/>
          <w:numId w:val="33"/>
        </w:numPr>
        <w:ind w:hanging="357"/>
        <w:rPr>
          <w:rFonts w:cs="Arial"/>
          <w:lang w:eastAsia="zh-CN"/>
        </w:rPr>
      </w:pPr>
      <w:r w:rsidRPr="00142B2B">
        <w:rPr>
          <w:rFonts w:cs="Arial"/>
          <w:lang w:eastAsia="zh-CN"/>
        </w:rPr>
        <w:t>zasady podlegania ubezpieczeniom społecznym lub ubezpieczeniu zdrowotnemu i wysokości stawki składki na ubezpieczenia społeczne lub zdrowotne.</w:t>
      </w:r>
    </w:p>
    <w:p w:rsidR="00142B2B" w:rsidRPr="00142B2B" w:rsidRDefault="00142B2B" w:rsidP="00142B2B">
      <w:pPr>
        <w:widowControl/>
        <w:numPr>
          <w:ilvl w:val="0"/>
          <w:numId w:val="33"/>
        </w:numPr>
        <w:suppressAutoHyphens/>
        <w:autoSpaceDE/>
        <w:autoSpaceDN/>
        <w:ind w:hanging="357"/>
        <w:rPr>
          <w:rFonts w:cs="Arial"/>
          <w:lang w:eastAsia="zh-CN"/>
        </w:rPr>
      </w:pPr>
      <w:r w:rsidRPr="00142B2B">
        <w:rPr>
          <w:rFonts w:cs="Arial"/>
          <w:lang w:eastAsia="zh-CN"/>
        </w:rPr>
        <w:t>inne uwzględnione w PPU.</w:t>
      </w:r>
    </w:p>
    <w:p w:rsidR="00142B2B" w:rsidRPr="00142B2B" w:rsidRDefault="00142B2B" w:rsidP="00142B2B">
      <w:pPr>
        <w:pStyle w:val="Akapitzlist"/>
        <w:widowControl/>
        <w:numPr>
          <w:ilvl w:val="0"/>
          <w:numId w:val="42"/>
        </w:numPr>
        <w:suppressAutoHyphens/>
        <w:autoSpaceDE/>
        <w:autoSpaceDN/>
        <w:rPr>
          <w:rFonts w:cs="Arial"/>
          <w:lang w:eastAsia="zh-CN"/>
        </w:rPr>
      </w:pPr>
      <w:r w:rsidRPr="00142B2B">
        <w:rPr>
          <w:rFonts w:cs="Arial"/>
          <w:b/>
          <w:lang w:eastAsia="zh-CN"/>
        </w:rPr>
        <w:lastRenderedPageBreak/>
        <w:t>Wysokość oprocentowania negocjowanych lokat terminowych</w:t>
      </w:r>
      <w:r w:rsidRPr="00142B2B">
        <w:rPr>
          <w:rFonts w:cs="Arial"/>
          <w:lang w:eastAsia="zh-CN"/>
        </w:rPr>
        <w:t xml:space="preserve"> wynosi:</w:t>
      </w:r>
    </w:p>
    <w:tbl>
      <w:tblPr>
        <w:tblStyle w:val="Tabela-Siatka2"/>
        <w:tblW w:w="0" w:type="auto"/>
        <w:jc w:val="center"/>
        <w:tblLook w:val="04A0" w:firstRow="1" w:lastRow="0" w:firstColumn="1" w:lastColumn="0" w:noHBand="0" w:noVBand="1"/>
      </w:tblPr>
      <w:tblGrid>
        <w:gridCol w:w="817"/>
        <w:gridCol w:w="2253"/>
        <w:gridCol w:w="3869"/>
      </w:tblGrid>
      <w:tr w:rsidR="00142B2B" w:rsidRPr="00142B2B" w:rsidTr="0070067B">
        <w:trPr>
          <w:jc w:val="center"/>
        </w:trPr>
        <w:tc>
          <w:tcPr>
            <w:tcW w:w="817" w:type="dxa"/>
            <w:vAlign w:val="center"/>
          </w:tcPr>
          <w:p w:rsidR="00142B2B" w:rsidRPr="00142B2B" w:rsidRDefault="00142B2B" w:rsidP="00142B2B">
            <w:pPr>
              <w:widowControl/>
              <w:autoSpaceDE/>
              <w:autoSpaceDN/>
              <w:spacing w:before="120" w:after="120"/>
              <w:jc w:val="center"/>
              <w:rPr>
                <w:rFonts w:eastAsia="Calibri" w:cs="Arial"/>
                <w:b/>
                <w:sz w:val="24"/>
                <w:szCs w:val="24"/>
              </w:rPr>
            </w:pPr>
            <w:proofErr w:type="spellStart"/>
            <w:r w:rsidRPr="00142B2B">
              <w:rPr>
                <w:rFonts w:eastAsia="Calibri" w:cs="Arial"/>
                <w:b/>
                <w:sz w:val="24"/>
                <w:szCs w:val="24"/>
              </w:rPr>
              <w:t>Lp</w:t>
            </w:r>
            <w:proofErr w:type="spellEnd"/>
          </w:p>
        </w:tc>
        <w:tc>
          <w:tcPr>
            <w:tcW w:w="2253" w:type="dxa"/>
            <w:vAlign w:val="center"/>
          </w:tcPr>
          <w:p w:rsidR="00142B2B" w:rsidRPr="00142B2B" w:rsidRDefault="00142B2B" w:rsidP="00142B2B">
            <w:pPr>
              <w:widowControl/>
              <w:autoSpaceDE/>
              <w:autoSpaceDN/>
              <w:spacing w:before="120" w:after="120"/>
              <w:jc w:val="center"/>
              <w:rPr>
                <w:rFonts w:eastAsia="Calibri" w:cs="Arial"/>
                <w:b/>
                <w:sz w:val="20"/>
                <w:szCs w:val="20"/>
              </w:rPr>
            </w:pPr>
            <w:r w:rsidRPr="00142B2B">
              <w:rPr>
                <w:rFonts w:eastAsia="Calibri" w:cs="Arial"/>
                <w:b/>
                <w:sz w:val="20"/>
                <w:szCs w:val="20"/>
              </w:rPr>
              <w:t>Rodzaj usługi</w:t>
            </w:r>
          </w:p>
        </w:tc>
        <w:tc>
          <w:tcPr>
            <w:tcW w:w="3869" w:type="dxa"/>
            <w:vAlign w:val="center"/>
          </w:tcPr>
          <w:p w:rsidR="00142B2B" w:rsidRPr="00142B2B" w:rsidRDefault="00142B2B" w:rsidP="00142B2B">
            <w:pPr>
              <w:widowControl/>
              <w:autoSpaceDE/>
              <w:autoSpaceDN/>
              <w:spacing w:before="120" w:after="120"/>
              <w:jc w:val="center"/>
              <w:rPr>
                <w:rFonts w:eastAsia="Calibri" w:cs="Arial"/>
                <w:b/>
                <w:sz w:val="20"/>
                <w:szCs w:val="20"/>
              </w:rPr>
            </w:pPr>
            <w:r w:rsidRPr="00142B2B">
              <w:rPr>
                <w:rFonts w:eastAsia="Calibri" w:cs="Arial"/>
                <w:b/>
                <w:sz w:val="20"/>
                <w:szCs w:val="20"/>
              </w:rPr>
              <w:t>Wysokość oprocentowania aktualnego na dzień składania ofert</w:t>
            </w:r>
          </w:p>
        </w:tc>
      </w:tr>
      <w:tr w:rsidR="00142B2B" w:rsidRPr="00142B2B" w:rsidTr="0070067B">
        <w:trPr>
          <w:jc w:val="center"/>
        </w:trPr>
        <w:tc>
          <w:tcPr>
            <w:tcW w:w="817" w:type="dxa"/>
            <w:vAlign w:val="center"/>
          </w:tcPr>
          <w:p w:rsidR="00142B2B" w:rsidRPr="00142B2B" w:rsidRDefault="00142B2B" w:rsidP="00142B2B">
            <w:pPr>
              <w:widowControl/>
              <w:autoSpaceDE/>
              <w:autoSpaceDN/>
              <w:spacing w:before="120" w:after="120"/>
              <w:jc w:val="center"/>
              <w:rPr>
                <w:rFonts w:eastAsia="Calibri" w:cs="Arial"/>
                <w:sz w:val="20"/>
                <w:szCs w:val="20"/>
              </w:rPr>
            </w:pPr>
            <w:r w:rsidRPr="00142B2B">
              <w:rPr>
                <w:rFonts w:eastAsia="Calibri" w:cs="Arial"/>
                <w:sz w:val="20"/>
                <w:szCs w:val="20"/>
              </w:rPr>
              <w:t>4</w:t>
            </w:r>
          </w:p>
        </w:tc>
        <w:tc>
          <w:tcPr>
            <w:tcW w:w="2253" w:type="dxa"/>
            <w:vAlign w:val="center"/>
          </w:tcPr>
          <w:p w:rsidR="00142B2B" w:rsidRPr="00142B2B" w:rsidRDefault="00142B2B" w:rsidP="00142B2B">
            <w:pPr>
              <w:widowControl/>
              <w:autoSpaceDE/>
              <w:autoSpaceDN/>
              <w:spacing w:before="120" w:after="120"/>
              <w:jc w:val="center"/>
              <w:rPr>
                <w:rFonts w:eastAsia="Calibri" w:cs="Arial"/>
                <w:sz w:val="20"/>
                <w:szCs w:val="20"/>
              </w:rPr>
            </w:pPr>
            <w:r w:rsidRPr="00142B2B">
              <w:rPr>
                <w:rFonts w:eastAsia="Calibri" w:cs="Arial"/>
                <w:sz w:val="20"/>
                <w:szCs w:val="20"/>
              </w:rPr>
              <w:t>Lokata 1M</w:t>
            </w:r>
          </w:p>
        </w:tc>
        <w:tc>
          <w:tcPr>
            <w:tcW w:w="3869" w:type="dxa"/>
            <w:vAlign w:val="center"/>
          </w:tcPr>
          <w:p w:rsidR="00142B2B" w:rsidRPr="00142B2B" w:rsidRDefault="00142B2B" w:rsidP="00142B2B">
            <w:pPr>
              <w:widowControl/>
              <w:autoSpaceDE/>
              <w:autoSpaceDN/>
              <w:spacing w:before="120" w:after="120"/>
              <w:jc w:val="center"/>
              <w:rPr>
                <w:rFonts w:eastAsia="Calibri" w:cs="Arial"/>
                <w:b/>
                <w:color w:val="0070C0"/>
                <w:sz w:val="20"/>
                <w:szCs w:val="20"/>
              </w:rPr>
            </w:pPr>
            <w:r w:rsidRPr="00142B2B">
              <w:rPr>
                <w:rFonts w:eastAsia="Calibri" w:cs="Arial"/>
                <w:b/>
                <w:color w:val="0070C0"/>
                <w:sz w:val="20"/>
                <w:szCs w:val="20"/>
              </w:rPr>
              <w:t>…….%</w:t>
            </w:r>
          </w:p>
        </w:tc>
      </w:tr>
    </w:tbl>
    <w:p w:rsidR="00142B2B" w:rsidRPr="00142B2B" w:rsidRDefault="00142B2B" w:rsidP="00FF2863">
      <w:pPr>
        <w:widowControl/>
        <w:suppressAutoHyphens/>
        <w:autoSpaceDE/>
        <w:autoSpaceDN/>
        <w:ind w:left="1134"/>
        <w:rPr>
          <w:rFonts w:cs="Arial"/>
          <w:i/>
          <w:lang w:eastAsia="zh-CN"/>
        </w:rPr>
      </w:pPr>
      <w:r w:rsidRPr="00142B2B">
        <w:rPr>
          <w:i/>
        </w:rPr>
        <w:t>(stawka oprocentowania lokaty terminowej służy jedynie do ustalenia klasyfikacji ofert)</w:t>
      </w:r>
    </w:p>
    <w:p w:rsidR="00142B2B" w:rsidRPr="00142B2B" w:rsidRDefault="00142B2B" w:rsidP="00142B2B">
      <w:pPr>
        <w:pStyle w:val="Akapitzlist"/>
        <w:widowControl/>
        <w:numPr>
          <w:ilvl w:val="0"/>
          <w:numId w:val="42"/>
        </w:numPr>
        <w:suppressAutoHyphens/>
        <w:autoSpaceDE/>
        <w:autoSpaceDN/>
        <w:rPr>
          <w:rFonts w:cs="Arial"/>
          <w:lang w:eastAsia="zh-CN"/>
        </w:rPr>
      </w:pPr>
      <w:r w:rsidRPr="00142B2B">
        <w:rPr>
          <w:rFonts w:cs="Arial"/>
          <w:lang w:eastAsia="zh-CN"/>
        </w:rPr>
        <w:t xml:space="preserve">Oświadczenie o mechanizmie odwróconego VAT </w:t>
      </w:r>
      <w:r w:rsidRPr="00142B2B">
        <w:rPr>
          <w:rFonts w:cs="Arial"/>
          <w:color w:val="0070C0"/>
          <w:lang w:eastAsia="zh-CN"/>
        </w:rPr>
        <w:t xml:space="preserve">- zgodnie z art. </w:t>
      </w:r>
      <w:r w:rsidRPr="00684298">
        <w:rPr>
          <w:color w:val="0070C0"/>
        </w:rPr>
        <w:t xml:space="preserve">43 ust. 1 pkt 40 Ustawy o </w:t>
      </w:r>
      <w:r w:rsidRPr="00684298">
        <w:rPr>
          <w:b/>
          <w:bCs/>
          <w:color w:val="0070C0"/>
        </w:rPr>
        <w:t>VAT</w:t>
      </w:r>
      <w:r w:rsidRPr="00684298">
        <w:rPr>
          <w:color w:val="0070C0"/>
        </w:rPr>
        <w:t xml:space="preserve">, zwalnia się od </w:t>
      </w:r>
      <w:r w:rsidRPr="00684298">
        <w:rPr>
          <w:b/>
          <w:bCs/>
          <w:color w:val="0070C0"/>
        </w:rPr>
        <w:t>podatku usługi</w:t>
      </w:r>
      <w:r w:rsidRPr="00684298">
        <w:rPr>
          <w:color w:val="0070C0"/>
        </w:rPr>
        <w:t xml:space="preserve"> w zakresie depozytów środków pieniężnych, prowadzenia rachunków pieniężnych, wszelkiego rodzaju transakcji płatniczych, przekazów i transferów pieniężnych, długów, czeków i weksli oraz </w:t>
      </w:r>
      <w:r w:rsidRPr="00684298">
        <w:rPr>
          <w:b/>
          <w:bCs/>
          <w:color w:val="0070C0"/>
        </w:rPr>
        <w:t>usługi</w:t>
      </w:r>
      <w:r w:rsidRPr="00684298">
        <w:rPr>
          <w:color w:val="0070C0"/>
        </w:rPr>
        <w:t xml:space="preserve"> pośrednictwa w świadczeniu tych </w:t>
      </w:r>
      <w:r w:rsidRPr="00684298">
        <w:rPr>
          <w:b/>
          <w:bCs/>
          <w:color w:val="0070C0"/>
        </w:rPr>
        <w:t>usług.</w:t>
      </w:r>
    </w:p>
    <w:p w:rsidR="007C45BE" w:rsidRDefault="007C45BE" w:rsidP="00142B2B">
      <w:pPr>
        <w:widowControl/>
        <w:suppressAutoHyphens/>
        <w:autoSpaceDE/>
        <w:autoSpaceDN/>
        <w:spacing w:after="240"/>
        <w:rPr>
          <w:rFonts w:cs="Arial"/>
          <w:lang w:eastAsia="zh-CN"/>
        </w:rPr>
      </w:pPr>
    </w:p>
    <w:p w:rsidR="00804382" w:rsidRPr="002A33E4" w:rsidRDefault="00804382" w:rsidP="0049593C">
      <w:pPr>
        <w:widowControl/>
        <w:numPr>
          <w:ilvl w:val="0"/>
          <w:numId w:val="9"/>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C17465" w:rsidRPr="002A3015" w:rsidRDefault="00C17465" w:rsidP="001F366B">
      <w:pPr>
        <w:widowControl/>
        <w:numPr>
          <w:ilvl w:val="0"/>
          <w:numId w:val="11"/>
        </w:numPr>
        <w:suppressAutoHyphens/>
        <w:autoSpaceDE/>
        <w:autoSpaceDN/>
        <w:rPr>
          <w:rFonts w:cs="Arial"/>
          <w:b/>
          <w:bCs/>
          <w:color w:val="0070C0"/>
        </w:rPr>
      </w:pPr>
      <w:r w:rsidRPr="002A3015">
        <w:rPr>
          <w:rFonts w:cs="Arial"/>
          <w:b/>
          <w:bCs/>
          <w:color w:val="0070C0"/>
        </w:rPr>
        <w:t>Podstawą prowadzenia przez nas działalności bankowej</w:t>
      </w:r>
      <w:r w:rsidR="00013F1C" w:rsidRPr="002A3015">
        <w:rPr>
          <w:rFonts w:cs="Arial"/>
          <w:b/>
          <w:bCs/>
          <w:color w:val="0070C0"/>
        </w:rPr>
        <w:t>,</w:t>
      </w:r>
      <w:r w:rsidRPr="002A3015">
        <w:rPr>
          <w:rFonts w:cs="Arial"/>
          <w:b/>
          <w:bCs/>
          <w:color w:val="0070C0"/>
        </w:rPr>
        <w:t xml:space="preserve"> na podstawie ustawy z dnia 29 sierpnia 1997 r. Prawo Bankowe jest …………………………….</w:t>
      </w:r>
      <w:r w:rsidR="00F062CC" w:rsidRPr="002A3015">
        <w:rPr>
          <w:rFonts w:cs="Arial"/>
          <w:b/>
          <w:bCs/>
          <w:color w:val="0070C0"/>
        </w:rPr>
        <w:t xml:space="preserve"> (</w:t>
      </w:r>
      <w:r w:rsidR="00F062CC" w:rsidRPr="002A3015">
        <w:rPr>
          <w:rFonts w:cs="Arial"/>
          <w:bCs/>
          <w:i/>
          <w:color w:val="0070C0"/>
        </w:rPr>
        <w:t>podać cech</w:t>
      </w:r>
      <w:r w:rsidR="00013F1C" w:rsidRPr="002A3015">
        <w:rPr>
          <w:rFonts w:cs="Arial"/>
          <w:bCs/>
          <w:i/>
          <w:color w:val="0070C0"/>
        </w:rPr>
        <w:t>y</w:t>
      </w:r>
      <w:r w:rsidR="00F062CC" w:rsidRPr="002A3015">
        <w:rPr>
          <w:rFonts w:cs="Arial"/>
          <w:bCs/>
          <w:i/>
          <w:color w:val="0070C0"/>
        </w:rPr>
        <w:t xml:space="preserve"> odpowiedniego zezwolenia, zgody)</w:t>
      </w:r>
    </w:p>
    <w:p w:rsidR="00DF20BA" w:rsidRPr="002A3015" w:rsidRDefault="002A3015" w:rsidP="001F366B">
      <w:pPr>
        <w:widowControl/>
        <w:numPr>
          <w:ilvl w:val="0"/>
          <w:numId w:val="11"/>
        </w:numPr>
        <w:suppressAutoHyphens/>
        <w:autoSpaceDE/>
        <w:autoSpaceDN/>
        <w:rPr>
          <w:rFonts w:cs="Arial"/>
          <w:b/>
          <w:bCs/>
          <w:color w:val="0070C0"/>
        </w:rPr>
      </w:pPr>
      <w:r>
        <w:rPr>
          <w:rFonts w:cs="Arial"/>
          <w:b/>
          <w:bCs/>
          <w:color w:val="0070C0"/>
        </w:rPr>
        <w:t>Ś</w:t>
      </w:r>
      <w:r w:rsidR="00DF20BA" w:rsidRPr="002A3015">
        <w:rPr>
          <w:rFonts w:cs="Arial"/>
          <w:b/>
          <w:bCs/>
          <w:color w:val="0070C0"/>
        </w:rPr>
        <w:t>wiadczymy kompleksowe usługi bankowe we wszystkich kanałach dostępu,</w:t>
      </w:r>
    </w:p>
    <w:p w:rsidR="00DF20BA" w:rsidRPr="00DF20BA" w:rsidRDefault="002A3015" w:rsidP="001F366B">
      <w:pPr>
        <w:widowControl/>
        <w:numPr>
          <w:ilvl w:val="0"/>
          <w:numId w:val="11"/>
        </w:numPr>
        <w:suppressAutoHyphens/>
        <w:autoSpaceDE/>
        <w:autoSpaceDN/>
        <w:rPr>
          <w:rFonts w:cs="Arial"/>
          <w:b/>
          <w:bCs/>
        </w:rPr>
      </w:pPr>
      <w:r>
        <w:rPr>
          <w:rFonts w:cs="Arial"/>
          <w:b/>
          <w:bCs/>
          <w:color w:val="0070C0"/>
        </w:rPr>
        <w:t>N</w:t>
      </w:r>
      <w:r w:rsidR="00DF20BA" w:rsidRPr="002A3015">
        <w:rPr>
          <w:rFonts w:cs="Arial"/>
          <w:b/>
          <w:bCs/>
          <w:color w:val="0070C0"/>
        </w:rPr>
        <w:t>ie prowadzimy obsługi bankowej Zamawiającego - FSUSR</w:t>
      </w:r>
      <w:r w:rsidR="00DF20BA" w:rsidRPr="00DF20BA">
        <w:rPr>
          <w:rFonts w:cs="Arial"/>
          <w:b/>
          <w:bCs/>
        </w:rPr>
        <w:t xml:space="preserve"> (</w:t>
      </w:r>
      <w:r w:rsidR="00DF20BA" w:rsidRPr="003B7EF0">
        <w:rPr>
          <w:rFonts w:cs="Arial"/>
          <w:bCs/>
        </w:rPr>
        <w:t>zgodnie z</w:t>
      </w:r>
      <w:r w:rsidR="00DF20BA" w:rsidRPr="00DF20BA">
        <w:rPr>
          <w:rFonts w:cs="Arial"/>
          <w:b/>
          <w:bCs/>
        </w:rPr>
        <w:t xml:space="preserve"> </w:t>
      </w:r>
      <w:r w:rsidR="003B7EF0">
        <w:rPr>
          <w:rFonts w:eastAsia="Calibri" w:cs="Arial"/>
        </w:rPr>
        <w:t>Rozporządzeniem Ministra Rolnictwa i Rozwoju Wsi w sprawie sposobu prowadzenia gospodarki finansowej Kasy Rolniczego Ubezpieczenia Społecznego z dnia 21 grudnia 2018 r. (Dz.U. z 2019 r. poz. 114</w:t>
      </w:r>
      <w:r w:rsidR="00DF20BA" w:rsidRPr="00DF20BA">
        <w:rPr>
          <w:rFonts w:cs="Arial"/>
          <w:b/>
          <w:bCs/>
        </w:rPr>
        <w:t>)</w:t>
      </w:r>
      <w:r w:rsidR="003F5B58">
        <w:rPr>
          <w:rFonts w:cs="Arial"/>
          <w:b/>
          <w:bCs/>
        </w:rPr>
        <w:t>.</w:t>
      </w:r>
    </w:p>
    <w:p w:rsidR="00804382" w:rsidRPr="002A33E4" w:rsidRDefault="00804382" w:rsidP="001F366B">
      <w:pPr>
        <w:widowControl/>
        <w:numPr>
          <w:ilvl w:val="0"/>
          <w:numId w:val="11"/>
        </w:numPr>
        <w:suppressAutoHyphens/>
        <w:autoSpaceDE/>
        <w:autoSpaceDN/>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1F366B">
      <w:pPr>
        <w:widowControl/>
        <w:numPr>
          <w:ilvl w:val="0"/>
          <w:numId w:val="11"/>
        </w:numPr>
        <w:suppressAutoHyphens/>
        <w:autoSpaceDE/>
        <w:autoSpaceDN/>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1F366B">
      <w:pPr>
        <w:widowControl/>
        <w:numPr>
          <w:ilvl w:val="0"/>
          <w:numId w:val="11"/>
        </w:numPr>
        <w:suppressAutoHyphens/>
        <w:autoSpaceDE/>
        <w:autoSpaceDN/>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1F366B">
      <w:pPr>
        <w:widowControl/>
        <w:numPr>
          <w:ilvl w:val="0"/>
          <w:numId w:val="11"/>
        </w:numPr>
        <w:suppressAutoHyphens/>
        <w:autoSpaceDE/>
        <w:autoSpaceDN/>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7058CC">
        <w:rPr>
          <w:rFonts w:cs="Arial"/>
          <w:b/>
          <w:color w:val="0070C0"/>
          <w:highlight w:val="yellow"/>
          <w:lang w:eastAsia="zh-CN"/>
        </w:rPr>
        <w:t xml:space="preserve">do dnia </w:t>
      </w:r>
      <w:r w:rsidR="00726DF8">
        <w:rPr>
          <w:rFonts w:cs="Arial"/>
          <w:b/>
          <w:color w:val="0070C0"/>
          <w:highlight w:val="yellow"/>
          <w:lang w:eastAsia="zh-CN"/>
        </w:rPr>
        <w:t>1</w:t>
      </w:r>
      <w:r w:rsidR="00172C4B">
        <w:rPr>
          <w:rFonts w:cs="Arial"/>
          <w:b/>
          <w:color w:val="0070C0"/>
          <w:highlight w:val="yellow"/>
          <w:lang w:eastAsia="zh-CN"/>
        </w:rPr>
        <w:t>4</w:t>
      </w:r>
      <w:r w:rsidR="00726DF8">
        <w:rPr>
          <w:rFonts w:cs="Arial"/>
          <w:b/>
          <w:color w:val="0070C0"/>
          <w:highlight w:val="yellow"/>
          <w:lang w:eastAsia="zh-CN"/>
        </w:rPr>
        <w:t>-11</w:t>
      </w:r>
      <w:r w:rsidR="008D1066" w:rsidRPr="007058CC">
        <w:rPr>
          <w:rFonts w:cs="Arial"/>
          <w:b/>
          <w:color w:val="0070C0"/>
          <w:highlight w:val="yellow"/>
          <w:lang w:eastAsia="zh-CN"/>
        </w:rPr>
        <w:t>-2022r.</w:t>
      </w:r>
      <w:r w:rsidR="008D1066">
        <w:rPr>
          <w:rFonts w:cs="Arial"/>
          <w:b/>
          <w:highlight w:val="yellow"/>
          <w:lang w:eastAsia="zh-CN"/>
        </w:rPr>
        <w:t xml:space="preserve"> </w:t>
      </w:r>
      <w:r w:rsidR="00E968C8" w:rsidRPr="008D1066">
        <w:rPr>
          <w:rFonts w:cs="Arial"/>
          <w:i/>
          <w:lang w:eastAsia="zh-CN"/>
        </w:rPr>
        <w:t>(nie</w:t>
      </w:r>
      <w:r w:rsidR="00E968C8" w:rsidRPr="002A33E4">
        <w:rPr>
          <w:rFonts w:cs="Arial"/>
          <w:i/>
          <w:lang w:eastAsia="zh-CN"/>
        </w:rPr>
        <w:t xml:space="preserve"> dłużej niż 90 dni)</w:t>
      </w:r>
      <w:r w:rsidR="00D61E03">
        <w:rPr>
          <w:rFonts w:cs="Arial"/>
          <w:i/>
          <w:lang w:eastAsia="zh-CN"/>
        </w:rPr>
        <w:t>.</w:t>
      </w:r>
    </w:p>
    <w:p w:rsidR="0038176F" w:rsidRPr="00153754" w:rsidRDefault="0038176F" w:rsidP="001F366B">
      <w:pPr>
        <w:widowControl/>
        <w:numPr>
          <w:ilvl w:val="0"/>
          <w:numId w:val="11"/>
        </w:numPr>
        <w:suppressAutoHyphens/>
        <w:autoSpaceDE/>
        <w:autoSpaceDN/>
        <w:rPr>
          <w:rFonts w:cs="Arial"/>
          <w:lang w:eastAsia="zh-CN"/>
        </w:rPr>
      </w:pPr>
      <w:r w:rsidRPr="00153754">
        <w:rPr>
          <w:rFonts w:cs="Arial"/>
          <w:lang w:eastAsia="zh-CN"/>
        </w:rPr>
        <w:t>Deklarujemy przed zawarciem umowy</w:t>
      </w:r>
      <w:r w:rsidR="00153754" w:rsidRPr="00153754">
        <w:rPr>
          <w:rFonts w:cs="Arial"/>
          <w:lang w:eastAsia="zh-CN"/>
        </w:rPr>
        <w:t xml:space="preserve"> </w:t>
      </w:r>
      <w:r w:rsidRPr="00153754">
        <w:rPr>
          <w:rFonts w:cs="Arial"/>
          <w:lang w:eastAsia="zh-CN"/>
        </w:rPr>
        <w:t>złożenie odpowiednich</w:t>
      </w:r>
      <w:r w:rsidRPr="00E6157C">
        <w:t xml:space="preserve"> </w:t>
      </w:r>
      <w:r w:rsidRPr="00153754">
        <w:rPr>
          <w:rFonts w:cs="Arial"/>
          <w:lang w:eastAsia="zh-CN"/>
        </w:rPr>
        <w:t>dokumentów, o których mowa w SWZ p. XVIII.</w:t>
      </w:r>
    </w:p>
    <w:p w:rsidR="00804382" w:rsidRPr="002A33E4" w:rsidRDefault="00804382" w:rsidP="001F366B">
      <w:pPr>
        <w:widowControl/>
        <w:numPr>
          <w:ilvl w:val="0"/>
          <w:numId w:val="11"/>
        </w:numPr>
        <w:suppressAutoHyphens/>
        <w:autoSpaceDE/>
        <w:autoSpaceDN/>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1F366B">
      <w:pPr>
        <w:widowControl/>
        <w:numPr>
          <w:ilvl w:val="0"/>
          <w:numId w:val="11"/>
        </w:numPr>
        <w:suppressAutoHyphens/>
        <w:autoSpaceDE/>
        <w:autoSpaceDN/>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142B2B">
      <w:pPr>
        <w:numPr>
          <w:ilvl w:val="0"/>
          <w:numId w:val="12"/>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142B2B">
      <w:pPr>
        <w:numPr>
          <w:ilvl w:val="0"/>
          <w:numId w:val="12"/>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49593C">
      <w:pPr>
        <w:widowControl/>
        <w:numPr>
          <w:ilvl w:val="0"/>
          <w:numId w:val="9"/>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lastRenderedPageBreak/>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2A33E4" w:rsidRDefault="00804382" w:rsidP="0049593C">
      <w:pPr>
        <w:widowControl/>
        <w:numPr>
          <w:ilvl w:val="0"/>
          <w:numId w:val="9"/>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49593C">
      <w:pPr>
        <w:widowControl/>
        <w:numPr>
          <w:ilvl w:val="0"/>
          <w:numId w:val="10"/>
        </w:numPr>
        <w:autoSpaceDE/>
        <w:autoSpaceDN/>
        <w:rPr>
          <w:rFonts w:cs="Arial"/>
          <w:lang w:eastAsia="ar-SA"/>
        </w:rPr>
      </w:pPr>
      <w:r w:rsidRPr="002A33E4">
        <w:rPr>
          <w:rFonts w:cs="Arial"/>
          <w:lang w:eastAsia="ar-SA"/>
        </w:rPr>
        <w:t>Oświadczenie dot. spełniania warunków i braku podstaw do wykluczenia,</w:t>
      </w:r>
    </w:p>
    <w:p w:rsidR="00E22872" w:rsidRPr="00017290" w:rsidRDefault="00E22872" w:rsidP="0049593C">
      <w:pPr>
        <w:widowControl/>
        <w:numPr>
          <w:ilvl w:val="0"/>
          <w:numId w:val="10"/>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398" w:name="_Toc73477198"/>
      <w:bookmarkStart w:id="399" w:name="_Toc73477243"/>
      <w:bookmarkStart w:id="400" w:name="_Toc73477530"/>
      <w:bookmarkStart w:id="401" w:name="_Toc73477562"/>
      <w:bookmarkStart w:id="402" w:name="_Toc108419062"/>
      <w:r w:rsidRPr="00680695">
        <w:lastRenderedPageBreak/>
        <w:t>Załącznik Nr 2 do SWZ</w:t>
      </w:r>
      <w:r w:rsidR="00680695" w:rsidRPr="00680695">
        <w:t xml:space="preserve"> - JEDZ</w:t>
      </w:r>
      <w:bookmarkEnd w:id="398"/>
      <w:bookmarkEnd w:id="399"/>
      <w:bookmarkEnd w:id="400"/>
      <w:bookmarkEnd w:id="401"/>
      <w:bookmarkEnd w:id="402"/>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03" w:name="_Toc73477199"/>
      <w:bookmarkStart w:id="404" w:name="_Toc73477244"/>
      <w:bookmarkStart w:id="405" w:name="_Toc73477531"/>
      <w:bookmarkStart w:id="406" w:name="_Toc73477563"/>
      <w:bookmarkStart w:id="407" w:name="_Toc108419063"/>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03"/>
      <w:bookmarkEnd w:id="404"/>
      <w:bookmarkEnd w:id="405"/>
      <w:bookmarkEnd w:id="406"/>
      <w:bookmarkEnd w:id="407"/>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865A7" w:rsidRDefault="00804382" w:rsidP="00804382">
      <w:pPr>
        <w:spacing w:line="235" w:lineRule="atLeast"/>
        <w:jc w:val="center"/>
        <w:rPr>
          <w:rFonts w:cs="Arial"/>
        </w:rPr>
      </w:pPr>
      <w:r w:rsidRPr="002865A7">
        <w:rPr>
          <w:rFonts w:cs="Arial"/>
        </w:rPr>
        <w:t xml:space="preserve">w trybie przetargu nieograniczonego </w:t>
      </w:r>
    </w:p>
    <w:p w:rsidR="0074194D" w:rsidRPr="002A33E4" w:rsidRDefault="0074194D" w:rsidP="00B71424">
      <w:bookmarkStart w:id="408" w:name="_Toc73477200"/>
      <w:r w:rsidRPr="002865A7">
        <w:t xml:space="preserve">na </w:t>
      </w:r>
      <w:r w:rsidR="00155351" w:rsidRPr="00FB123E">
        <w:rPr>
          <w:rFonts w:cs="Arial"/>
          <w:b/>
          <w:bCs/>
          <w:color w:val="0070C0"/>
          <w:lang w:eastAsia="zh-CN"/>
        </w:rPr>
        <w:t xml:space="preserve">kompleksową obsługę bankową w </w:t>
      </w:r>
      <w:r w:rsidR="00155351" w:rsidRPr="008E7AC5">
        <w:rPr>
          <w:rFonts w:cs="Arial"/>
          <w:b/>
          <w:bCs/>
          <w:color w:val="0070C0"/>
          <w:lang w:eastAsia="zh-CN"/>
        </w:rPr>
        <w:t>FSUSR</w:t>
      </w:r>
      <w:r w:rsidR="006619F4" w:rsidRPr="008E7AC5">
        <w:rPr>
          <w:b/>
          <w:bCs/>
          <w:color w:val="0070C0"/>
        </w:rPr>
        <w:t xml:space="preserve"> w latach 2022 – 2025</w:t>
      </w:r>
      <w:r w:rsidR="00155351" w:rsidRPr="002865A7">
        <w:rPr>
          <w:rFonts w:cs="Arial"/>
          <w:lang w:eastAsia="zh-CN"/>
        </w:rPr>
        <w:t xml:space="preserve"> </w:t>
      </w:r>
      <w:r w:rsidR="007C45BE" w:rsidRPr="002865A7">
        <w:t>- w podziale</w:t>
      </w:r>
      <w:r w:rsidR="007C45BE" w:rsidRPr="002A33E4">
        <w:t xml:space="preserve"> na </w:t>
      </w:r>
      <w:r w:rsidR="007C6683">
        <w:t>2</w:t>
      </w:r>
      <w:r w:rsidR="002C4C86" w:rsidRPr="002A33E4">
        <w:t xml:space="preserve"> </w:t>
      </w:r>
      <w:r w:rsidR="007C45BE" w:rsidRPr="002A33E4">
        <w:t>części</w:t>
      </w:r>
      <w:r w:rsidR="00C87D21" w:rsidRPr="002A33E4">
        <w:t>:</w:t>
      </w:r>
      <w:bookmarkEnd w:id="408"/>
    </w:p>
    <w:p w:rsidR="00155351" w:rsidRPr="00A34EF3" w:rsidRDefault="00155351" w:rsidP="00D13920">
      <w:pPr>
        <w:ind w:left="1134" w:right="20" w:hanging="850"/>
        <w:rPr>
          <w:rFonts w:eastAsia="Arial Narrow" w:cs="Arial"/>
          <w:color w:val="0070C0"/>
        </w:rPr>
      </w:pPr>
      <w:r w:rsidRPr="00A34EF3">
        <w:rPr>
          <w:rFonts w:eastAsia="Arial Narrow" w:cs="Arial"/>
          <w:color w:val="0070C0"/>
        </w:rPr>
        <w:t xml:space="preserve">* część 1 </w:t>
      </w:r>
      <w:r w:rsidRPr="00A34EF3">
        <w:rPr>
          <w:rFonts w:eastAsia="Arial Narrow" w:cs="Arial"/>
          <w:color w:val="0070C0"/>
        </w:rPr>
        <w:tab/>
        <w:t xml:space="preserve"> kompleksowa obsługa bankowa </w:t>
      </w:r>
    </w:p>
    <w:p w:rsidR="00155351" w:rsidRPr="00A34EF3" w:rsidRDefault="00155351" w:rsidP="00155351">
      <w:pPr>
        <w:ind w:left="1134" w:right="20" w:hanging="850"/>
        <w:rPr>
          <w:rFonts w:eastAsia="Arial Narrow" w:cs="Arial"/>
          <w:color w:val="0070C0"/>
        </w:rPr>
      </w:pPr>
      <w:r w:rsidRPr="00A34EF3">
        <w:rPr>
          <w:rFonts w:eastAsia="Arial Narrow" w:cs="Arial"/>
          <w:color w:val="0070C0"/>
        </w:rPr>
        <w:t xml:space="preserve">* część 2 </w:t>
      </w:r>
      <w:r w:rsidRPr="00A34EF3">
        <w:rPr>
          <w:rFonts w:eastAsia="Arial Narrow" w:cs="Arial"/>
          <w:color w:val="0070C0"/>
        </w:rPr>
        <w:tab/>
        <w:t xml:space="preserve"> kompleksowa obsługa bankowa </w:t>
      </w:r>
    </w:p>
    <w:p w:rsidR="00155351" w:rsidRPr="00202E73" w:rsidRDefault="00155351" w:rsidP="00155351">
      <w:pPr>
        <w:widowControl/>
        <w:ind w:left="284" w:right="20"/>
        <w:rPr>
          <w:rFonts w:eastAsia="Calibri" w:cs="Arial"/>
        </w:rPr>
      </w:pPr>
      <w:r w:rsidRPr="00EC1BA3">
        <w:rPr>
          <w:rFonts w:eastAsia="Calibri" w:cs="Arial"/>
        </w:rPr>
        <w:t xml:space="preserve">przy czym </w:t>
      </w:r>
      <w:r>
        <w:rPr>
          <w:rFonts w:eastAsia="Calibri" w:cs="Arial"/>
        </w:rPr>
        <w:t>dla</w:t>
      </w:r>
      <w:r w:rsidRPr="00EC1BA3">
        <w:rPr>
          <w:rFonts w:eastAsia="Calibri" w:cs="Arial"/>
        </w:rPr>
        <w:t xml:space="preserve"> każdej części</w:t>
      </w:r>
      <w:r>
        <w:rPr>
          <w:rFonts w:eastAsia="Calibri" w:cs="Arial"/>
        </w:rPr>
        <w:t xml:space="preserve"> odrębnie </w:t>
      </w:r>
      <w:r w:rsidR="00153754">
        <w:rPr>
          <w:rFonts w:eastAsia="Calibri" w:cs="Arial"/>
        </w:rPr>
        <w:t>wykonywanie</w:t>
      </w:r>
      <w:r w:rsidR="00153754" w:rsidRPr="00EC1BA3">
        <w:rPr>
          <w:rFonts w:eastAsia="Calibri" w:cs="Arial"/>
        </w:rPr>
        <w:t xml:space="preserve"> </w:t>
      </w:r>
      <w:r w:rsidR="00153754">
        <w:rPr>
          <w:rFonts w:eastAsia="Calibri" w:cs="Arial"/>
        </w:rPr>
        <w:t>w banku</w:t>
      </w:r>
      <w:r w:rsidR="00153754" w:rsidRPr="00EC1BA3">
        <w:rPr>
          <w:rFonts w:eastAsia="Calibri" w:cs="Arial"/>
        </w:rPr>
        <w:t xml:space="preserve"> operacji </w:t>
      </w:r>
      <w:r w:rsidR="00153754">
        <w:rPr>
          <w:rFonts w:eastAsia="Calibri" w:cs="Arial"/>
        </w:rPr>
        <w:t>z</w:t>
      </w:r>
      <w:r w:rsidR="00153754" w:rsidRPr="00EC1BA3">
        <w:rPr>
          <w:rFonts w:eastAsia="Calibri" w:cs="Arial"/>
        </w:rPr>
        <w:t xml:space="preserve"> lokowa</w:t>
      </w:r>
      <w:r w:rsidR="00153754">
        <w:rPr>
          <w:rFonts w:eastAsia="Calibri" w:cs="Arial"/>
        </w:rPr>
        <w:t>niem środków</w:t>
      </w:r>
      <w:r w:rsidR="00153754" w:rsidDel="002865A7">
        <w:rPr>
          <w:rFonts w:eastAsia="Calibri" w:cs="Arial"/>
        </w:rPr>
        <w:t xml:space="preserve"> </w:t>
      </w:r>
      <w:r w:rsidRPr="00EC1BA3">
        <w:rPr>
          <w:rFonts w:eastAsia="Calibri" w:cs="Arial"/>
        </w:rPr>
        <w:t>do maksymalnej kwoty 130 mln zł,</w:t>
      </w:r>
      <w:r>
        <w:rPr>
          <w:rFonts w:eastAsia="Calibri" w:cs="Arial"/>
        </w:rPr>
        <w:t xml:space="preserve"> zgodnie z Rozporządzeniem Ministra Rolnictwa i Rozwoju Wsi w sprawie sposobu prowadzenia gospodarki finansowej Kasy Rolniczego Ubezpieczenia Społecznego z dnia 21 grudnia 2018 r. (Dz.U. z 2019 r. poz. 114). </w:t>
      </w:r>
    </w:p>
    <w:p w:rsidR="007C45BE" w:rsidRPr="003E0CBA" w:rsidRDefault="007C45BE" w:rsidP="00253FCE">
      <w:pPr>
        <w:tabs>
          <w:tab w:val="left" w:pos="284"/>
          <w:tab w:val="left" w:pos="1134"/>
        </w:tabs>
        <w:ind w:left="1134" w:right="20" w:hanging="850"/>
        <w:rPr>
          <w:rFonts w:eastAsia="Arial Narrow" w:cs="Arial"/>
          <w:b/>
        </w:rPr>
      </w:pP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0"/>
          <w:footerReference w:type="default" r:id="rId21"/>
          <w:pgSz w:w="11906" w:h="16838"/>
          <w:pgMar w:top="1134" w:right="1134" w:bottom="1134" w:left="1134" w:header="567" w:footer="567" w:gutter="0"/>
          <w:cols w:space="708"/>
          <w:docGrid w:linePitch="360"/>
        </w:sectPr>
      </w:pPr>
    </w:p>
    <w:p w:rsidR="00866C5A" w:rsidRPr="007C6683" w:rsidRDefault="00866C5A" w:rsidP="00804382">
      <w:pPr>
        <w:tabs>
          <w:tab w:val="left" w:pos="360"/>
        </w:tabs>
        <w:rPr>
          <w:rFonts w:cs="Arial"/>
          <w:strike/>
        </w:rPr>
      </w:pPr>
    </w:p>
    <w:p w:rsidR="00403F2A" w:rsidRDefault="00403F2A" w:rsidP="00403F2A">
      <w:pPr>
        <w:pStyle w:val="Nagwek3"/>
      </w:pPr>
      <w:bookmarkStart w:id="409" w:name="_Toc108419064"/>
      <w:r w:rsidRPr="00A37B2B">
        <w:t xml:space="preserve">Załącznik Nr </w:t>
      </w:r>
      <w:r w:rsidR="00A95BBD">
        <w:t>4</w:t>
      </w:r>
      <w:r w:rsidR="00A95BBD" w:rsidRPr="00A37B2B">
        <w:t xml:space="preserve"> </w:t>
      </w:r>
      <w:r w:rsidRPr="00A37B2B">
        <w:t xml:space="preserve">do SWZ – </w:t>
      </w:r>
      <w:r>
        <w:t>Oświadczenie dot. sankcji</w:t>
      </w:r>
      <w:bookmarkEnd w:id="409"/>
    </w:p>
    <w:p w:rsidR="00403F2A" w:rsidRPr="00403F2A" w:rsidRDefault="00403F2A">
      <w:pPr>
        <w:widowControl/>
        <w:autoSpaceDE/>
        <w:autoSpaceDN/>
        <w:jc w:val="left"/>
      </w:pPr>
    </w:p>
    <w:p w:rsidR="00403F2A" w:rsidRPr="00403F2A" w:rsidRDefault="00403F2A" w:rsidP="00403F2A"/>
    <w:p w:rsidR="00403F2A" w:rsidRPr="00403F2A" w:rsidRDefault="00403F2A" w:rsidP="00403F2A">
      <w:pPr>
        <w:rPr>
          <w:rFonts w:cs="Arial"/>
          <w:i/>
          <w:iCs/>
        </w:rPr>
      </w:pPr>
    </w:p>
    <w:p w:rsidR="00403F2A" w:rsidRPr="00403F2A" w:rsidRDefault="00403F2A" w:rsidP="00403F2A">
      <w:pPr>
        <w:rPr>
          <w:rFonts w:cs="Arial"/>
          <w:i/>
          <w:iCs/>
          <w:color w:val="0070C0"/>
        </w:rPr>
      </w:pPr>
      <w:r w:rsidRPr="00403F2A">
        <w:rPr>
          <w:rFonts w:cs="Arial"/>
          <w:i/>
          <w:iCs/>
          <w:color w:val="0070C0"/>
        </w:rPr>
        <w:t>……………………………………………</w:t>
      </w:r>
    </w:p>
    <w:p w:rsidR="00403F2A" w:rsidRPr="00403F2A" w:rsidRDefault="00403F2A" w:rsidP="00403F2A">
      <w:pPr>
        <w:rPr>
          <w:rFonts w:cs="Arial"/>
          <w:i/>
          <w:iCs/>
          <w:color w:val="0070C0"/>
        </w:rPr>
      </w:pPr>
      <w:r w:rsidRPr="00403F2A">
        <w:rPr>
          <w:rFonts w:cs="Arial"/>
          <w:i/>
          <w:iCs/>
          <w:color w:val="0070C0"/>
        </w:rPr>
        <w:t>(nazwa i adres Wykonawcy)</w:t>
      </w:r>
    </w:p>
    <w:p w:rsidR="00403F2A" w:rsidRPr="00403F2A" w:rsidRDefault="00403F2A" w:rsidP="00403F2A">
      <w:pPr>
        <w:rPr>
          <w:rFonts w:cs="Arial"/>
        </w:rPr>
      </w:pPr>
    </w:p>
    <w:p w:rsidR="00403F2A" w:rsidRPr="00403F2A" w:rsidRDefault="00403F2A" w:rsidP="00403F2A">
      <w:pPr>
        <w:jc w:val="center"/>
        <w:rPr>
          <w:rFonts w:cs="Arial"/>
          <w:b/>
          <w:bCs/>
          <w:u w:val="single"/>
        </w:rPr>
      </w:pPr>
      <w:r w:rsidRPr="00403F2A">
        <w:rPr>
          <w:rFonts w:cs="Arial"/>
          <w:b/>
          <w:bCs/>
          <w:u w:val="single"/>
        </w:rPr>
        <w:t>OŚWIADCZENIE</w:t>
      </w:r>
    </w:p>
    <w:p w:rsidR="00403F2A" w:rsidRPr="00403F2A" w:rsidRDefault="00403F2A" w:rsidP="00403F2A">
      <w:pPr>
        <w:jc w:val="center"/>
        <w:rPr>
          <w:rFonts w:cs="Arial"/>
          <w:u w:val="single"/>
        </w:rPr>
      </w:pPr>
      <w:r w:rsidRPr="00403F2A">
        <w:rPr>
          <w:rFonts w:cs="Arial"/>
          <w:u w:val="single"/>
        </w:rPr>
        <w:t xml:space="preserve">dot. sankcji wobec osób i podmiotów, </w:t>
      </w:r>
    </w:p>
    <w:p w:rsidR="00403F2A" w:rsidRPr="002865A7" w:rsidRDefault="00403F2A" w:rsidP="00403F2A">
      <w:pPr>
        <w:jc w:val="center"/>
        <w:rPr>
          <w:rFonts w:cs="Arial"/>
          <w:u w:val="single"/>
        </w:rPr>
      </w:pPr>
      <w:r w:rsidRPr="00403F2A">
        <w:rPr>
          <w:rFonts w:cs="Arial"/>
          <w:u w:val="single"/>
        </w:rPr>
        <w:t xml:space="preserve">o których mowa w ustawie z dnia 13 kwietnia 2022 roku o szczególnych rozwiązaniach w zakresie przeciwdziałania wspieraniu agresji na Ukrainę oraz służących ochronie bezpieczeństwa </w:t>
      </w:r>
      <w:r w:rsidRPr="002865A7">
        <w:rPr>
          <w:rFonts w:cs="Arial"/>
          <w:u w:val="single"/>
        </w:rPr>
        <w:t>narodowego</w:t>
      </w:r>
    </w:p>
    <w:p w:rsidR="00403F2A" w:rsidRPr="002865A7" w:rsidRDefault="00403F2A" w:rsidP="00403F2A">
      <w:pPr>
        <w:rPr>
          <w:rFonts w:cs="Arial"/>
        </w:rPr>
      </w:pPr>
    </w:p>
    <w:p w:rsidR="00403F2A" w:rsidRPr="002865A7" w:rsidRDefault="00403F2A" w:rsidP="00403F2A">
      <w:pPr>
        <w:spacing w:line="235" w:lineRule="atLeast"/>
        <w:jc w:val="center"/>
        <w:rPr>
          <w:rFonts w:cs="Arial"/>
        </w:rPr>
      </w:pPr>
      <w:r w:rsidRPr="002865A7">
        <w:rPr>
          <w:rFonts w:cs="Arial"/>
        </w:rPr>
        <w:t>Przystępując do postępowania w sprawie udzielenia zamówienia publicznego  </w:t>
      </w:r>
    </w:p>
    <w:p w:rsidR="00403F2A" w:rsidRPr="002865A7" w:rsidRDefault="00403F2A" w:rsidP="00403F2A">
      <w:pPr>
        <w:spacing w:line="235" w:lineRule="atLeast"/>
        <w:jc w:val="center"/>
        <w:rPr>
          <w:rFonts w:cs="Arial"/>
        </w:rPr>
      </w:pPr>
      <w:r w:rsidRPr="002865A7">
        <w:rPr>
          <w:rFonts w:cs="Arial"/>
        </w:rPr>
        <w:t xml:space="preserve">w trybie przetargu nieograniczonego </w:t>
      </w:r>
    </w:p>
    <w:p w:rsidR="00155351" w:rsidRPr="002865A7" w:rsidRDefault="00403F2A" w:rsidP="00155351">
      <w:pPr>
        <w:rPr>
          <w:rFonts w:cs="Arial"/>
          <w:b/>
          <w:bCs/>
          <w:lang w:eastAsia="zh-CN"/>
        </w:rPr>
      </w:pPr>
      <w:r w:rsidRPr="002865A7">
        <w:t xml:space="preserve">na </w:t>
      </w:r>
    </w:p>
    <w:p w:rsidR="00155351" w:rsidRPr="002865A7" w:rsidRDefault="00155351" w:rsidP="00155351">
      <w:r w:rsidRPr="008E7AC5">
        <w:rPr>
          <w:rFonts w:cs="Arial"/>
          <w:b/>
          <w:bCs/>
          <w:color w:val="0070C0"/>
          <w:lang w:eastAsia="zh-CN"/>
        </w:rPr>
        <w:t>kompleksową obsługę bankową w FSUSR</w:t>
      </w:r>
      <w:r w:rsidR="002D5632" w:rsidRPr="008E7AC5">
        <w:rPr>
          <w:rFonts w:cs="Arial"/>
          <w:b/>
          <w:bCs/>
          <w:color w:val="0070C0"/>
          <w:lang w:eastAsia="zh-CN"/>
        </w:rPr>
        <w:t xml:space="preserve"> </w:t>
      </w:r>
      <w:r w:rsidR="006619F4" w:rsidRPr="008E7AC5">
        <w:rPr>
          <w:b/>
          <w:bCs/>
          <w:color w:val="0070C0"/>
        </w:rPr>
        <w:t>w latach 2022 – 2025</w:t>
      </w:r>
      <w:r w:rsidRPr="002865A7">
        <w:rPr>
          <w:b/>
          <w:bCs/>
        </w:rPr>
        <w:t xml:space="preserve"> </w:t>
      </w:r>
      <w:r w:rsidRPr="002865A7">
        <w:t>- w podziale na 2 części:</w:t>
      </w:r>
    </w:p>
    <w:p w:rsidR="00155351" w:rsidRPr="001A45CA" w:rsidRDefault="00155351" w:rsidP="001A45CA">
      <w:pPr>
        <w:ind w:left="1134" w:right="20" w:hanging="850"/>
        <w:rPr>
          <w:rFonts w:eastAsia="Arial Narrow" w:cs="Arial"/>
          <w:color w:val="0070C0"/>
        </w:rPr>
      </w:pPr>
      <w:r w:rsidRPr="001A45CA">
        <w:rPr>
          <w:rFonts w:eastAsia="Arial Narrow" w:cs="Arial"/>
          <w:color w:val="0070C0"/>
        </w:rPr>
        <w:t xml:space="preserve">* część 1 </w:t>
      </w:r>
      <w:r w:rsidRPr="001A45CA">
        <w:rPr>
          <w:rFonts w:eastAsia="Arial Narrow" w:cs="Arial"/>
          <w:color w:val="0070C0"/>
        </w:rPr>
        <w:tab/>
      </w:r>
      <w:r w:rsidR="001A45CA">
        <w:rPr>
          <w:rFonts w:eastAsia="Arial Narrow" w:cs="Arial"/>
          <w:color w:val="0070C0"/>
        </w:rPr>
        <w:t xml:space="preserve"> </w:t>
      </w:r>
      <w:r w:rsidRPr="001A45CA">
        <w:rPr>
          <w:rFonts w:eastAsia="Arial Narrow" w:cs="Arial"/>
          <w:color w:val="0070C0"/>
        </w:rPr>
        <w:t>- kompleksowa obsługa bankowa,</w:t>
      </w:r>
    </w:p>
    <w:p w:rsidR="00153754" w:rsidRPr="001A45CA" w:rsidRDefault="00155351" w:rsidP="00155351">
      <w:pPr>
        <w:ind w:left="1134" w:right="20" w:hanging="850"/>
        <w:rPr>
          <w:rFonts w:eastAsia="Arial Narrow" w:cs="Arial"/>
          <w:color w:val="0070C0"/>
        </w:rPr>
      </w:pPr>
      <w:r w:rsidRPr="001A45CA">
        <w:rPr>
          <w:rFonts w:eastAsia="Arial Narrow" w:cs="Arial"/>
          <w:color w:val="0070C0"/>
        </w:rPr>
        <w:t xml:space="preserve">* część 2 </w:t>
      </w:r>
      <w:r w:rsidRPr="001A45CA">
        <w:rPr>
          <w:rFonts w:eastAsia="Arial Narrow" w:cs="Arial"/>
          <w:color w:val="0070C0"/>
        </w:rPr>
        <w:tab/>
      </w:r>
      <w:r w:rsidR="008E7AC5" w:rsidRPr="001A45CA">
        <w:rPr>
          <w:rFonts w:eastAsia="Arial Narrow" w:cs="Arial"/>
          <w:color w:val="0070C0"/>
        </w:rPr>
        <w:t xml:space="preserve"> </w:t>
      </w:r>
      <w:r w:rsidRPr="001A45CA">
        <w:rPr>
          <w:rFonts w:eastAsia="Arial Narrow" w:cs="Arial"/>
          <w:color w:val="0070C0"/>
        </w:rPr>
        <w:t>- kompleksowa obsługa bankowa</w:t>
      </w:r>
      <w:r w:rsidR="00153754" w:rsidRPr="001A45CA">
        <w:rPr>
          <w:rFonts w:eastAsia="Arial Narrow" w:cs="Arial"/>
          <w:color w:val="0070C0"/>
        </w:rPr>
        <w:t>,</w:t>
      </w:r>
    </w:p>
    <w:p w:rsidR="00155351" w:rsidRPr="002865A7" w:rsidRDefault="00155351" w:rsidP="00153754">
      <w:pPr>
        <w:ind w:left="284" w:right="20"/>
        <w:rPr>
          <w:rFonts w:eastAsia="Calibri" w:cs="Arial"/>
        </w:rPr>
      </w:pPr>
      <w:r w:rsidRPr="002865A7">
        <w:rPr>
          <w:rFonts w:eastAsia="Calibri" w:cs="Arial"/>
        </w:rPr>
        <w:t xml:space="preserve">przy czym dla każdej części odrębnie </w:t>
      </w:r>
      <w:r w:rsidR="00153754">
        <w:rPr>
          <w:rFonts w:eastAsia="Calibri" w:cs="Arial"/>
        </w:rPr>
        <w:t>wykonywanie</w:t>
      </w:r>
      <w:r w:rsidR="00153754" w:rsidRPr="00EC1BA3">
        <w:rPr>
          <w:rFonts w:eastAsia="Calibri" w:cs="Arial"/>
        </w:rPr>
        <w:t xml:space="preserve"> </w:t>
      </w:r>
      <w:r w:rsidR="00153754">
        <w:rPr>
          <w:rFonts w:eastAsia="Calibri" w:cs="Arial"/>
        </w:rPr>
        <w:t>w banku</w:t>
      </w:r>
      <w:r w:rsidR="00153754" w:rsidRPr="00EC1BA3">
        <w:rPr>
          <w:rFonts w:eastAsia="Calibri" w:cs="Arial"/>
        </w:rPr>
        <w:t xml:space="preserve"> operacji </w:t>
      </w:r>
      <w:r w:rsidR="00153754">
        <w:rPr>
          <w:rFonts w:eastAsia="Calibri" w:cs="Arial"/>
        </w:rPr>
        <w:t>z</w:t>
      </w:r>
      <w:r w:rsidR="00153754" w:rsidRPr="00EC1BA3">
        <w:rPr>
          <w:rFonts w:eastAsia="Calibri" w:cs="Arial"/>
        </w:rPr>
        <w:t xml:space="preserve"> lokowa</w:t>
      </w:r>
      <w:r w:rsidR="00153754">
        <w:rPr>
          <w:rFonts w:eastAsia="Calibri" w:cs="Arial"/>
        </w:rPr>
        <w:t>niem środków</w:t>
      </w:r>
      <w:r w:rsidR="00153754" w:rsidDel="002865A7">
        <w:rPr>
          <w:rFonts w:eastAsia="Calibri" w:cs="Arial"/>
        </w:rPr>
        <w:t xml:space="preserve"> </w:t>
      </w:r>
      <w:r w:rsidRPr="002865A7">
        <w:rPr>
          <w:rFonts w:eastAsia="Calibri" w:cs="Arial"/>
        </w:rPr>
        <w:t xml:space="preserve">do maksymalnej kwoty 130 mln zł, zgodnie z Rozporządzeniem Ministra Rolnictwa i Rozwoju Wsi w sprawie sposobu prowadzenia gospodarki finansowej Kasy Rolniczego Ubezpieczenia Społecznego z dnia 21 grudnia 2018 r. (Dz.U. z 2019 r. poz. 114). </w:t>
      </w:r>
    </w:p>
    <w:p w:rsidR="00403F2A" w:rsidRPr="002865A7" w:rsidRDefault="00403F2A" w:rsidP="00403F2A">
      <w:pPr>
        <w:spacing w:line="235" w:lineRule="atLeast"/>
        <w:jc w:val="center"/>
        <w:rPr>
          <w:rFonts w:cs="Arial"/>
          <w:i/>
          <w:u w:val="single"/>
        </w:rPr>
      </w:pPr>
    </w:p>
    <w:p w:rsidR="00403F2A" w:rsidRPr="002865A7" w:rsidRDefault="00403F2A" w:rsidP="00403F2A">
      <w:pPr>
        <w:spacing w:line="235" w:lineRule="atLeast"/>
        <w:rPr>
          <w:rFonts w:cs="Arial"/>
          <w:color w:val="0070C0"/>
        </w:rPr>
      </w:pPr>
      <w:r w:rsidRPr="002865A7">
        <w:rPr>
          <w:rFonts w:cs="Arial"/>
        </w:rPr>
        <w:t xml:space="preserve">Ja, niżej podpisany, reprezentując Wykonawcę, </w:t>
      </w:r>
      <w:r w:rsidRPr="002865A7">
        <w:rPr>
          <w:rFonts w:cs="Arial"/>
          <w:color w:val="0070C0"/>
        </w:rPr>
        <w:t xml:space="preserve">……...……………………………………………, </w:t>
      </w:r>
      <w:r w:rsidRPr="002865A7">
        <w:rPr>
          <w:rFonts w:cs="Arial"/>
        </w:rPr>
        <w:t>oświadczam, że:</w:t>
      </w:r>
    </w:p>
    <w:p w:rsidR="00403F2A" w:rsidRPr="00403F2A" w:rsidRDefault="00403F2A" w:rsidP="00142B2B">
      <w:pPr>
        <w:widowControl/>
        <w:numPr>
          <w:ilvl w:val="0"/>
          <w:numId w:val="35"/>
        </w:numPr>
        <w:adjustRightInd w:val="0"/>
        <w:spacing w:before="100" w:beforeAutospacing="1"/>
        <w:ind w:left="284" w:hanging="284"/>
        <w:rPr>
          <w:rFonts w:cs="Arial"/>
        </w:rPr>
      </w:pPr>
      <w:r w:rsidRPr="002865A7">
        <w:rPr>
          <w:rFonts w:cs="Arial"/>
          <w:b/>
          <w:bCs/>
          <w:color w:val="0070C0"/>
        </w:rPr>
        <w:t>*zachodzą / *nie zachodzą</w:t>
      </w:r>
      <w:r w:rsidRPr="002865A7">
        <w:rPr>
          <w:rFonts w:cs="Arial"/>
          <w:b/>
          <w:bCs/>
        </w:rPr>
        <w:t xml:space="preserve"> </w:t>
      </w:r>
      <w:r w:rsidRPr="002865A7">
        <w:rPr>
          <w:rFonts w:cs="Arial"/>
          <w:bCs/>
        </w:rPr>
        <w:t>wobec mnie przesłanki wykluczenia</w:t>
      </w:r>
      <w:r w:rsidRPr="00403F2A">
        <w:rPr>
          <w:rFonts w:cs="Arial"/>
          <w:bCs/>
        </w:rPr>
        <w:t xml:space="preserve"> z postępowania o udzielenie zamówienia publicznego określone w ww. ustawie oraz</w:t>
      </w:r>
      <w:r w:rsidRPr="00403F2A">
        <w:rPr>
          <w:rFonts w:cs="Arial"/>
          <w:b/>
          <w:bCs/>
        </w:rPr>
        <w:t xml:space="preserve"> </w:t>
      </w:r>
      <w:r w:rsidRPr="00403F2A">
        <w:rPr>
          <w:rFonts w:cs="Arial"/>
          <w:b/>
          <w:bCs/>
        </w:rPr>
        <w:br/>
      </w:r>
      <w:r w:rsidRPr="00403F2A">
        <w:rPr>
          <w:rFonts w:cs="Arial"/>
          <w:b/>
          <w:bCs/>
          <w:color w:val="0070C0"/>
        </w:rPr>
        <w:t>*znajduję się / *nie znajduję się</w:t>
      </w:r>
      <w:r w:rsidRPr="00403F2A">
        <w:rPr>
          <w:rFonts w:cs="Arial"/>
          <w:b/>
          <w:bCs/>
        </w:rPr>
        <w:t xml:space="preserve"> </w:t>
      </w:r>
      <w:r w:rsidRPr="00403F2A">
        <w:rPr>
          <w:rFonts w:cs="Arial"/>
          <w:bCs/>
        </w:rPr>
        <w:t>na liście prowadzonej przez właściwego ministra ds. wewnętrznych, o której mowa w ww. ustawie</w:t>
      </w:r>
      <w:r w:rsidRPr="00403F2A">
        <w:rPr>
          <w:rFonts w:cs="Arial"/>
        </w:rPr>
        <w:t>.</w:t>
      </w:r>
    </w:p>
    <w:p w:rsidR="00403F2A" w:rsidRPr="00403F2A" w:rsidRDefault="00403F2A" w:rsidP="00403F2A">
      <w:pPr>
        <w:widowControl/>
        <w:adjustRightInd w:val="0"/>
        <w:ind w:left="284"/>
        <w:rPr>
          <w:rFonts w:cs="Arial"/>
        </w:rPr>
      </w:pPr>
    </w:p>
    <w:p w:rsidR="00403F2A" w:rsidRPr="00403F2A" w:rsidRDefault="00403F2A" w:rsidP="00142B2B">
      <w:pPr>
        <w:widowControl/>
        <w:numPr>
          <w:ilvl w:val="0"/>
          <w:numId w:val="35"/>
        </w:numPr>
        <w:adjustRightInd w:val="0"/>
        <w:ind w:left="284" w:hanging="284"/>
        <w:rPr>
          <w:rFonts w:cs="Arial"/>
        </w:rPr>
      </w:pPr>
      <w:r w:rsidRPr="00403F2A">
        <w:rPr>
          <w:rFonts w:cs="Arial"/>
          <w:bCs/>
        </w:rPr>
        <w:t>Jestem świadomy, że</w:t>
      </w:r>
      <w:r w:rsidR="00C97FEC">
        <w:rPr>
          <w:rFonts w:cs="Arial"/>
          <w:bCs/>
        </w:rPr>
        <w:t xml:space="preserve"> w związku z ww. ustawą</w:t>
      </w:r>
      <w:r w:rsidRPr="00403F2A">
        <w:rPr>
          <w:rFonts w:cs="Arial"/>
          <w:bCs/>
        </w:rPr>
        <w:t>:</w:t>
      </w:r>
    </w:p>
    <w:p w:rsidR="00C97FEC" w:rsidRPr="00C97FEC" w:rsidRDefault="00C97FEC" w:rsidP="00142B2B">
      <w:pPr>
        <w:widowControl/>
        <w:numPr>
          <w:ilvl w:val="0"/>
          <w:numId w:val="36"/>
        </w:numPr>
        <w:adjustRightInd w:val="0"/>
        <w:spacing w:before="120"/>
        <w:rPr>
          <w:rFonts w:cs="Arial"/>
        </w:rPr>
      </w:pPr>
      <w:r>
        <w:rPr>
          <w:rFonts w:cs="Arial"/>
        </w:rPr>
        <w:t xml:space="preserve">zakaz ubiegania się o zamówienie publiczne </w:t>
      </w:r>
      <w:r>
        <w:t xml:space="preserve">obejmuje również podwykonawców, dostawców i podmioty, na których zdolności wykonawca lub koncesjonariusz polega, </w:t>
      </w:r>
    </w:p>
    <w:p w:rsidR="00403F2A" w:rsidRPr="00403F2A" w:rsidRDefault="00403F2A" w:rsidP="00142B2B">
      <w:pPr>
        <w:widowControl/>
        <w:numPr>
          <w:ilvl w:val="0"/>
          <w:numId w:val="36"/>
        </w:numPr>
        <w:adjustRightInd w:val="0"/>
        <w:spacing w:before="120"/>
        <w:rPr>
          <w:rFonts w:cs="Arial"/>
        </w:rPr>
      </w:pPr>
      <w:r w:rsidRPr="00403F2A">
        <w:rPr>
          <w:rFonts w:cs="Arial"/>
          <w:bCs/>
        </w:rPr>
        <w:t>Zamawiający na każdym etapie prowadzonego postępowania ma prawo wykluczyć mnie z postępowania, a moją ofertę odrzucić,</w:t>
      </w:r>
    </w:p>
    <w:p w:rsidR="00403F2A" w:rsidRPr="00403F2A" w:rsidRDefault="00403F2A" w:rsidP="00142B2B">
      <w:pPr>
        <w:widowControl/>
        <w:numPr>
          <w:ilvl w:val="0"/>
          <w:numId w:val="36"/>
        </w:numPr>
        <w:adjustRightInd w:val="0"/>
        <w:spacing w:before="120"/>
        <w:rPr>
          <w:rFonts w:cs="Arial"/>
        </w:rPr>
      </w:pPr>
      <w:r w:rsidRPr="00403F2A">
        <w:rPr>
          <w:rFonts w:cs="Arial"/>
          <w:bCs/>
        </w:rPr>
        <w:t xml:space="preserve">w przypadku podania przeze mnie fałszywych informacji i ubiegania się o zamówienie publiczne podlegam karze pieniężnej, o której mowa w art. 7 ust. 7 i 8 ww. ustawy </w:t>
      </w:r>
    </w:p>
    <w:p w:rsidR="00403F2A" w:rsidRPr="00403F2A" w:rsidRDefault="00403F2A" w:rsidP="00403F2A">
      <w:pPr>
        <w:widowControl/>
        <w:adjustRightInd w:val="0"/>
        <w:spacing w:before="120"/>
        <w:ind w:left="787"/>
        <w:rPr>
          <w:rFonts w:cs="Arial"/>
        </w:rPr>
      </w:pPr>
    </w:p>
    <w:p w:rsidR="00403F2A" w:rsidRPr="00403F2A" w:rsidRDefault="00403F2A" w:rsidP="00403F2A">
      <w:pPr>
        <w:adjustRightInd w:val="0"/>
        <w:rPr>
          <w:rFonts w:cs="Arial"/>
        </w:rPr>
      </w:pPr>
      <w:r w:rsidRPr="00403F2A">
        <w:rPr>
          <w:rFonts w:cs="Arial"/>
        </w:rPr>
        <w:t xml:space="preserve">Miejscowość ....................................... dnia ........................................... </w:t>
      </w:r>
    </w:p>
    <w:p w:rsidR="00403F2A" w:rsidRPr="00403F2A" w:rsidRDefault="00403F2A" w:rsidP="00403F2A">
      <w:pPr>
        <w:adjustRightInd w:val="0"/>
        <w:rPr>
          <w:rFonts w:cs="Arial"/>
        </w:rPr>
      </w:pPr>
    </w:p>
    <w:p w:rsidR="00403F2A" w:rsidRPr="00403F2A" w:rsidRDefault="00403F2A" w:rsidP="00403F2A">
      <w:pPr>
        <w:adjustRightInd w:val="0"/>
        <w:spacing w:line="276" w:lineRule="auto"/>
        <w:jc w:val="right"/>
        <w:rPr>
          <w:rFonts w:cs="Arial"/>
          <w:color w:val="0070C0"/>
        </w:rPr>
      </w:pPr>
      <w:r w:rsidRPr="00403F2A">
        <w:rPr>
          <w:rFonts w:cs="Arial"/>
          <w:color w:val="0070C0"/>
        </w:rPr>
        <w:t>Podpis (imię, nazwisko)…………………………………….…………...</w:t>
      </w:r>
    </w:p>
    <w:p w:rsidR="00403F2A" w:rsidRPr="00403F2A" w:rsidRDefault="00403F2A" w:rsidP="00403F2A">
      <w:pPr>
        <w:spacing w:line="276" w:lineRule="auto"/>
        <w:jc w:val="right"/>
        <w:rPr>
          <w:rFonts w:cs="Arial"/>
        </w:rPr>
      </w:pPr>
      <w:r w:rsidRPr="00403F2A">
        <w:rPr>
          <w:rFonts w:cs="Arial"/>
          <w:color w:val="000000"/>
        </w:rPr>
        <w:t xml:space="preserve">(Podpis osoby lub osób uprawnionych do reprezentowania wykonawcy </w:t>
      </w:r>
      <w:r w:rsidRPr="00403F2A">
        <w:rPr>
          <w:rFonts w:cs="Arial"/>
          <w:color w:val="000000"/>
        </w:rPr>
        <w:br/>
        <w:t>w dokumentach rejestrowych lub we właściwym pełnomocnictwie).</w:t>
      </w:r>
    </w:p>
    <w:p w:rsidR="00403F2A" w:rsidRPr="00403F2A" w:rsidRDefault="00403F2A" w:rsidP="00403F2A">
      <w:pPr>
        <w:spacing w:line="276" w:lineRule="auto"/>
        <w:jc w:val="right"/>
        <w:rPr>
          <w:rFonts w:cs="Arial"/>
          <w:b/>
          <w:i/>
        </w:rPr>
      </w:pPr>
      <w:r w:rsidRPr="00403F2A">
        <w:rPr>
          <w:rFonts w:cs="Arial"/>
          <w:b/>
          <w:i/>
          <w:color w:val="FF0000"/>
        </w:rPr>
        <w:t>kwalifikowany podpis elektroniczny</w:t>
      </w:r>
    </w:p>
    <w:p w:rsidR="00403F2A" w:rsidRPr="00403F2A" w:rsidRDefault="00403F2A">
      <w:pPr>
        <w:widowControl/>
        <w:autoSpaceDE/>
        <w:autoSpaceDN/>
        <w:jc w:val="left"/>
      </w:pPr>
    </w:p>
    <w:p w:rsidR="00403F2A" w:rsidRDefault="00403F2A">
      <w:pPr>
        <w:widowControl/>
        <w:autoSpaceDE/>
        <w:autoSpaceDN/>
        <w:jc w:val="left"/>
        <w:rPr>
          <w:color w:val="FF0000"/>
        </w:rPr>
      </w:pPr>
      <w:r>
        <w:rPr>
          <w:color w:val="FF0000"/>
        </w:rPr>
        <w:br w:type="page"/>
      </w:r>
    </w:p>
    <w:p w:rsidR="004E3E0E" w:rsidRPr="004E3E0E" w:rsidRDefault="004E3E0E" w:rsidP="004E3E0E">
      <w:pPr>
        <w:pStyle w:val="Nagwek1"/>
      </w:pPr>
      <w:bookmarkStart w:id="410" w:name="_Toc108419065"/>
      <w:r w:rsidRPr="00277149">
        <w:lastRenderedPageBreak/>
        <w:t>Projektowane Postanowienia Umowy (PPU)</w:t>
      </w:r>
      <w:r>
        <w:t xml:space="preserve"> </w:t>
      </w:r>
      <w:r w:rsidRPr="004E3E0E">
        <w:rPr>
          <w:b w:val="0"/>
        </w:rPr>
        <w:t>wraz z załącznikami</w:t>
      </w:r>
      <w:bookmarkEnd w:id="410"/>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footerReference w:type="default" r:id="rId22"/>
      <w:pgSz w:w="11907" w:h="16840" w:code="9"/>
      <w:pgMar w:top="851" w:right="1134" w:bottom="851" w:left="1134"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7B" w:rsidRDefault="0070067B">
      <w:r>
        <w:separator/>
      </w:r>
    </w:p>
  </w:endnote>
  <w:endnote w:type="continuationSeparator" w:id="0">
    <w:p w:rsidR="0070067B" w:rsidRDefault="007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7B" w:rsidRPr="00A5419A" w:rsidRDefault="0070067B"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70067B" w:rsidRPr="00A5419A" w:rsidRDefault="0070067B" w:rsidP="008D75CE">
    <w:pPr>
      <w:pStyle w:val="Nagwek"/>
      <w:pBdr>
        <w:top w:val="single" w:sz="6" w:space="10" w:color="4F81BD"/>
      </w:pBdr>
      <w:jc w:val="center"/>
      <w:rPr>
        <w:rFonts w:cs="Arial"/>
      </w:rPr>
    </w:pPr>
    <w:r w:rsidRPr="00A5419A">
      <w:rPr>
        <w:rFonts w:cs="Arial"/>
        <w:b/>
        <w:highlight w:val="yellow"/>
      </w:rPr>
      <w:t>znak sprawy: FS.ZPN.251</w:t>
    </w:r>
    <w:r w:rsidR="00E87DE0">
      <w:rPr>
        <w:rFonts w:cs="Arial"/>
        <w:b/>
        <w:color w:val="FF0000"/>
        <w:highlight w:val="yellow"/>
        <w:u w:val="single"/>
      </w:rPr>
      <w:t>.8.</w:t>
    </w:r>
    <w:r w:rsidRPr="00A5419A">
      <w:rPr>
        <w:rFonts w:cs="Arial"/>
        <w:b/>
        <w:highlight w:val="yellow"/>
      </w:rPr>
      <w:t>20</w:t>
    </w:r>
    <w:r w:rsidRPr="00291859">
      <w:rPr>
        <w:rFonts w:cs="Arial"/>
        <w:b/>
        <w:highlight w:val="yellow"/>
      </w:rPr>
      <w:t>22</w:t>
    </w:r>
  </w:p>
  <w:p w:rsidR="0070067B" w:rsidRPr="006E5EFA" w:rsidRDefault="0070067B"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7B" w:rsidRPr="00916890" w:rsidRDefault="0070067B" w:rsidP="00804A3E">
    <w:pPr>
      <w:pStyle w:val="Nagwek"/>
      <w:pBdr>
        <w:top w:val="single" w:sz="6" w:space="10" w:color="4F81BD"/>
      </w:pBdr>
      <w:jc w:val="center"/>
      <w:rPr>
        <w:rFonts w:cs="Arial"/>
        <w:b/>
        <w:highlight w:val="yellow"/>
      </w:rPr>
    </w:pPr>
    <w:r w:rsidRPr="00916890">
      <w:rPr>
        <w:rFonts w:cs="Arial"/>
        <w:b/>
        <w:highlight w:val="yellow"/>
      </w:rPr>
      <w:t>Warszawa, 202</w:t>
    </w:r>
    <w:r>
      <w:rPr>
        <w:rFonts w:cs="Arial"/>
        <w:b/>
        <w:highlight w:val="yellow"/>
      </w:rPr>
      <w:t>2</w:t>
    </w:r>
    <w:r w:rsidRPr="00916890">
      <w:rPr>
        <w:rFonts w:cs="Arial"/>
        <w:b/>
        <w:highlight w:val="yellow"/>
      </w:rPr>
      <w:t xml:space="preserve"> r.</w:t>
    </w:r>
  </w:p>
  <w:p w:rsidR="0070067B" w:rsidRPr="00916890" w:rsidRDefault="0070067B" w:rsidP="00804A3E">
    <w:pPr>
      <w:pStyle w:val="Nagwek"/>
      <w:pBdr>
        <w:top w:val="single" w:sz="6" w:space="10" w:color="4F81BD"/>
      </w:pBdr>
      <w:jc w:val="center"/>
      <w:rPr>
        <w:rFonts w:cs="Arial"/>
        <w:b/>
      </w:rPr>
    </w:pPr>
    <w:r w:rsidRPr="00916890">
      <w:rPr>
        <w:rFonts w:cs="Arial"/>
        <w:b/>
        <w:highlight w:val="yellow"/>
      </w:rPr>
      <w:t>znak sprawy: FS.ZPN.251</w:t>
    </w:r>
    <w:r w:rsidR="00A74A8F">
      <w:rPr>
        <w:rFonts w:cs="Arial"/>
        <w:b/>
        <w:color w:val="FF0000"/>
        <w:highlight w:val="yellow"/>
        <w:u w:val="single"/>
      </w:rPr>
      <w:t>.8.</w:t>
    </w:r>
    <w:r w:rsidRPr="00916890">
      <w:rPr>
        <w:rFonts w:cs="Arial"/>
        <w:b/>
        <w:highlight w:val="yellow"/>
      </w:rPr>
      <w:t>202</w:t>
    </w:r>
    <w:r>
      <w:rPr>
        <w:rFonts w:cs="Arial"/>
        <w:b/>
      </w:rPr>
      <w:t>2</w:t>
    </w:r>
  </w:p>
  <w:p w:rsidR="0070067B" w:rsidRPr="006E5EFA" w:rsidRDefault="0070067B"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7B" w:rsidRDefault="0070067B">
      <w:r>
        <w:separator/>
      </w:r>
    </w:p>
  </w:footnote>
  <w:footnote w:type="continuationSeparator" w:id="0">
    <w:p w:rsidR="0070067B" w:rsidRDefault="0070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70067B" w:rsidRPr="00096208" w:rsidRDefault="0070067B"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3677D0" w:rsidRPr="003677D0">
          <w:rPr>
            <w:b/>
            <w:bCs/>
            <w:noProof/>
            <w:sz w:val="20"/>
            <w:szCs w:val="20"/>
          </w:rPr>
          <w:t>1</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00B"/>
    <w:multiLevelType w:val="hybridMultilevel"/>
    <w:tmpl w:val="6358A4E8"/>
    <w:lvl w:ilvl="0" w:tplc="04150011">
      <w:start w:val="1"/>
      <w:numFmt w:val="decimal"/>
      <w:lvlText w:val="%1)"/>
      <w:lvlJc w:val="left"/>
      <w:pPr>
        <w:ind w:left="720" w:hanging="360"/>
      </w:pPr>
    </w:lvl>
    <w:lvl w:ilvl="1" w:tplc="D24A21B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8038F2"/>
    <w:multiLevelType w:val="multilevel"/>
    <w:tmpl w:val="F71ECC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nsid w:val="11D70D4E"/>
    <w:multiLevelType w:val="multilevel"/>
    <w:tmpl w:val="F4502A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AE16BF"/>
    <w:multiLevelType w:val="hybridMultilevel"/>
    <w:tmpl w:val="C8749652"/>
    <w:lvl w:ilvl="0" w:tplc="04150011">
      <w:start w:val="1"/>
      <w:numFmt w:val="decimal"/>
      <w:lvlText w:val="%1)"/>
      <w:lvlJc w:val="left"/>
      <w:pPr>
        <w:ind w:left="720" w:hanging="360"/>
      </w:pPr>
    </w:lvl>
    <w:lvl w:ilvl="1" w:tplc="92B821A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9">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2">
    <w:nsid w:val="28045DBD"/>
    <w:multiLevelType w:val="hybridMultilevel"/>
    <w:tmpl w:val="601EE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0C1D0A"/>
    <w:multiLevelType w:val="multilevel"/>
    <w:tmpl w:val="491ADF4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non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4">
    <w:nsid w:val="2C8B19CF"/>
    <w:multiLevelType w:val="multilevel"/>
    <w:tmpl w:val="2DC8CE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30A276F9"/>
    <w:multiLevelType w:val="hybridMultilevel"/>
    <w:tmpl w:val="0B8676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0">
    <w:nsid w:val="3A883807"/>
    <w:multiLevelType w:val="hybridMultilevel"/>
    <w:tmpl w:val="595CB7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2E5408"/>
    <w:multiLevelType w:val="hybridMultilevel"/>
    <w:tmpl w:val="EAD47C72"/>
    <w:lvl w:ilvl="0" w:tplc="04150017">
      <w:start w:val="1"/>
      <w:numFmt w:val="lowerLetter"/>
      <w:lvlText w:val="%1)"/>
      <w:lvlJc w:val="left"/>
      <w:pPr>
        <w:ind w:left="2227" w:hanging="360"/>
      </w:pPr>
    </w:lvl>
    <w:lvl w:ilvl="1" w:tplc="04150019" w:tentative="1">
      <w:start w:val="1"/>
      <w:numFmt w:val="lowerLetter"/>
      <w:lvlText w:val="%2."/>
      <w:lvlJc w:val="left"/>
      <w:pPr>
        <w:ind w:left="2947" w:hanging="360"/>
      </w:pPr>
    </w:lvl>
    <w:lvl w:ilvl="2" w:tplc="0415001B" w:tentative="1">
      <w:start w:val="1"/>
      <w:numFmt w:val="lowerRoman"/>
      <w:lvlText w:val="%3."/>
      <w:lvlJc w:val="right"/>
      <w:pPr>
        <w:ind w:left="3667" w:hanging="180"/>
      </w:pPr>
    </w:lvl>
    <w:lvl w:ilvl="3" w:tplc="0415000F" w:tentative="1">
      <w:start w:val="1"/>
      <w:numFmt w:val="decimal"/>
      <w:lvlText w:val="%4."/>
      <w:lvlJc w:val="left"/>
      <w:pPr>
        <w:ind w:left="4387" w:hanging="360"/>
      </w:pPr>
    </w:lvl>
    <w:lvl w:ilvl="4" w:tplc="04150019" w:tentative="1">
      <w:start w:val="1"/>
      <w:numFmt w:val="lowerLetter"/>
      <w:lvlText w:val="%5."/>
      <w:lvlJc w:val="left"/>
      <w:pPr>
        <w:ind w:left="5107" w:hanging="360"/>
      </w:pPr>
    </w:lvl>
    <w:lvl w:ilvl="5" w:tplc="0415001B" w:tentative="1">
      <w:start w:val="1"/>
      <w:numFmt w:val="lowerRoman"/>
      <w:lvlText w:val="%6."/>
      <w:lvlJc w:val="right"/>
      <w:pPr>
        <w:ind w:left="5827" w:hanging="180"/>
      </w:pPr>
    </w:lvl>
    <w:lvl w:ilvl="6" w:tplc="0415000F" w:tentative="1">
      <w:start w:val="1"/>
      <w:numFmt w:val="decimal"/>
      <w:lvlText w:val="%7."/>
      <w:lvlJc w:val="left"/>
      <w:pPr>
        <w:ind w:left="6547" w:hanging="360"/>
      </w:pPr>
    </w:lvl>
    <w:lvl w:ilvl="7" w:tplc="04150019" w:tentative="1">
      <w:start w:val="1"/>
      <w:numFmt w:val="lowerLetter"/>
      <w:lvlText w:val="%8."/>
      <w:lvlJc w:val="left"/>
      <w:pPr>
        <w:ind w:left="7267" w:hanging="360"/>
      </w:pPr>
    </w:lvl>
    <w:lvl w:ilvl="8" w:tplc="0415001B" w:tentative="1">
      <w:start w:val="1"/>
      <w:numFmt w:val="lowerRoman"/>
      <w:lvlText w:val="%9."/>
      <w:lvlJc w:val="right"/>
      <w:pPr>
        <w:ind w:left="7987" w:hanging="180"/>
      </w:pPr>
    </w:lvl>
  </w:abstractNum>
  <w:abstractNum w:abstractNumId="22">
    <w:nsid w:val="439E59C1"/>
    <w:multiLevelType w:val="hybridMultilevel"/>
    <w:tmpl w:val="F38860EA"/>
    <w:lvl w:ilvl="0" w:tplc="04150017">
      <w:start w:val="1"/>
      <w:numFmt w:val="lowerLetter"/>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3">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5B1558E"/>
    <w:multiLevelType w:val="hybridMultilevel"/>
    <w:tmpl w:val="F18E9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F77DBD"/>
    <w:multiLevelType w:val="hybridMultilevel"/>
    <w:tmpl w:val="2D1E680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950B49"/>
    <w:multiLevelType w:val="hybridMultilevel"/>
    <w:tmpl w:val="097A089A"/>
    <w:lvl w:ilvl="0" w:tplc="6B2E645E">
      <w:start w:val="1"/>
      <w:numFmt w:val="upp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0">
    <w:nsid w:val="53D278A0"/>
    <w:multiLevelType w:val="hybridMultilevel"/>
    <w:tmpl w:val="D48EEAAA"/>
    <w:lvl w:ilvl="0" w:tplc="4832F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3405EB"/>
    <w:multiLevelType w:val="hybridMultilevel"/>
    <w:tmpl w:val="6358A4E8"/>
    <w:lvl w:ilvl="0" w:tplc="04150011">
      <w:start w:val="1"/>
      <w:numFmt w:val="decimal"/>
      <w:lvlText w:val="%1)"/>
      <w:lvlJc w:val="left"/>
      <w:pPr>
        <w:ind w:left="720" w:hanging="360"/>
      </w:pPr>
    </w:lvl>
    <w:lvl w:ilvl="1" w:tplc="D24A21B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3D0F9B"/>
    <w:multiLevelType w:val="hybridMultilevel"/>
    <w:tmpl w:val="DAB26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8">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A03464"/>
    <w:multiLevelType w:val="hybridMultilevel"/>
    <w:tmpl w:val="89061A9A"/>
    <w:lvl w:ilvl="0" w:tplc="EDA45554">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2">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8"/>
  </w:num>
  <w:num w:numId="2">
    <w:abstractNumId w:val="46"/>
  </w:num>
  <w:num w:numId="3">
    <w:abstractNumId w:val="11"/>
  </w:num>
  <w:num w:numId="4">
    <w:abstractNumId w:val="3"/>
  </w:num>
  <w:num w:numId="5">
    <w:abstractNumId w:val="42"/>
  </w:num>
  <w:num w:numId="6">
    <w:abstractNumId w:val="35"/>
  </w:num>
  <w:num w:numId="7">
    <w:abstractNumId w:val="17"/>
  </w:num>
  <w:num w:numId="8">
    <w:abstractNumId w:val="9"/>
  </w:num>
  <w:num w:numId="9">
    <w:abstractNumId w:val="43"/>
  </w:num>
  <w:num w:numId="10">
    <w:abstractNumId w:val="38"/>
  </w:num>
  <w:num w:numId="11">
    <w:abstractNumId w:val="18"/>
  </w:num>
  <w:num w:numId="12">
    <w:abstractNumId w:val="44"/>
  </w:num>
  <w:num w:numId="13">
    <w:abstractNumId w:val="29"/>
  </w:num>
  <w:num w:numId="14">
    <w:abstractNumId w:val="2"/>
  </w:num>
  <w:num w:numId="15">
    <w:abstractNumId w:val="13"/>
  </w:num>
  <w:num w:numId="16">
    <w:abstractNumId w:val="16"/>
  </w:num>
  <w:num w:numId="17">
    <w:abstractNumId w:val="39"/>
  </w:num>
  <w:num w:numId="18">
    <w:abstractNumId w:val="4"/>
  </w:num>
  <w:num w:numId="19">
    <w:abstractNumId w:val="40"/>
  </w:num>
  <w:num w:numId="20">
    <w:abstractNumId w:val="10"/>
  </w:num>
  <w:num w:numId="21">
    <w:abstractNumId w:val="33"/>
  </w:num>
  <w:num w:numId="22">
    <w:abstractNumId w:val="1"/>
  </w:num>
  <w:num w:numId="23">
    <w:abstractNumId w:val="31"/>
  </w:num>
  <w:num w:numId="24">
    <w:abstractNumId w:val="14"/>
  </w:num>
  <w:num w:numId="25">
    <w:abstractNumId w:val="20"/>
  </w:num>
  <w:num w:numId="26">
    <w:abstractNumId w:val="5"/>
  </w:num>
  <w:num w:numId="27">
    <w:abstractNumId w:val="34"/>
  </w:num>
  <w:num w:numId="28">
    <w:abstractNumId w:val="28"/>
  </w:num>
  <w:num w:numId="29">
    <w:abstractNumId w:val="12"/>
  </w:num>
  <w:num w:numId="30">
    <w:abstractNumId w:val="6"/>
  </w:num>
  <w:num w:numId="31">
    <w:abstractNumId w:val="45"/>
  </w:num>
  <w:num w:numId="32">
    <w:abstractNumId w:val="26"/>
  </w:num>
  <w:num w:numId="33">
    <w:abstractNumId w:val="23"/>
  </w:num>
  <w:num w:numId="34">
    <w:abstractNumId w:val="41"/>
  </w:num>
  <w:num w:numId="35">
    <w:abstractNumId w:val="36"/>
  </w:num>
  <w:num w:numId="36">
    <w:abstractNumId w:val="37"/>
  </w:num>
  <w:num w:numId="37">
    <w:abstractNumId w:val="0"/>
  </w:num>
  <w:num w:numId="38">
    <w:abstractNumId w:val="27"/>
  </w:num>
  <w:num w:numId="39">
    <w:abstractNumId w:val="22"/>
  </w:num>
  <w:num w:numId="40">
    <w:abstractNumId w:val="21"/>
  </w:num>
  <w:num w:numId="41">
    <w:abstractNumId w:val="7"/>
  </w:num>
  <w:num w:numId="42">
    <w:abstractNumId w:val="30"/>
  </w:num>
  <w:num w:numId="43">
    <w:abstractNumId w:val="25"/>
  </w:num>
  <w:num w:numId="44">
    <w:abstractNumId w:val="32"/>
  </w:num>
  <w:num w:numId="45">
    <w:abstractNumId w:val="24"/>
  </w:num>
  <w:num w:numId="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186"/>
    <w:rsid w:val="000039E6"/>
    <w:rsid w:val="00003D26"/>
    <w:rsid w:val="000058D1"/>
    <w:rsid w:val="00007F41"/>
    <w:rsid w:val="00013DCA"/>
    <w:rsid w:val="00013F1C"/>
    <w:rsid w:val="00014581"/>
    <w:rsid w:val="000149CE"/>
    <w:rsid w:val="00014A64"/>
    <w:rsid w:val="00017290"/>
    <w:rsid w:val="00020C3C"/>
    <w:rsid w:val="0002104C"/>
    <w:rsid w:val="000228C2"/>
    <w:rsid w:val="00024791"/>
    <w:rsid w:val="00025604"/>
    <w:rsid w:val="00025FC1"/>
    <w:rsid w:val="000275CC"/>
    <w:rsid w:val="000320C8"/>
    <w:rsid w:val="000321D4"/>
    <w:rsid w:val="00034A6C"/>
    <w:rsid w:val="00034CF3"/>
    <w:rsid w:val="00036518"/>
    <w:rsid w:val="000424AA"/>
    <w:rsid w:val="00042B72"/>
    <w:rsid w:val="000476BA"/>
    <w:rsid w:val="0005005F"/>
    <w:rsid w:val="000507FF"/>
    <w:rsid w:val="00051EAF"/>
    <w:rsid w:val="00054813"/>
    <w:rsid w:val="0005602F"/>
    <w:rsid w:val="0005684F"/>
    <w:rsid w:val="000607E8"/>
    <w:rsid w:val="0006469C"/>
    <w:rsid w:val="00066785"/>
    <w:rsid w:val="00067175"/>
    <w:rsid w:val="00067240"/>
    <w:rsid w:val="000706DE"/>
    <w:rsid w:val="00070C2C"/>
    <w:rsid w:val="00070C88"/>
    <w:rsid w:val="0007282B"/>
    <w:rsid w:val="00073102"/>
    <w:rsid w:val="00073EF0"/>
    <w:rsid w:val="000752A3"/>
    <w:rsid w:val="00075516"/>
    <w:rsid w:val="00076796"/>
    <w:rsid w:val="0007710F"/>
    <w:rsid w:val="00077F60"/>
    <w:rsid w:val="000808D5"/>
    <w:rsid w:val="00081428"/>
    <w:rsid w:val="000816D6"/>
    <w:rsid w:val="00082281"/>
    <w:rsid w:val="000825A4"/>
    <w:rsid w:val="00085C42"/>
    <w:rsid w:val="00085DDA"/>
    <w:rsid w:val="00086A3D"/>
    <w:rsid w:val="00086A62"/>
    <w:rsid w:val="00086E16"/>
    <w:rsid w:val="00087C8A"/>
    <w:rsid w:val="00087C9A"/>
    <w:rsid w:val="00091E3A"/>
    <w:rsid w:val="0009386C"/>
    <w:rsid w:val="00094283"/>
    <w:rsid w:val="00094A0A"/>
    <w:rsid w:val="00096208"/>
    <w:rsid w:val="000967B4"/>
    <w:rsid w:val="000973D1"/>
    <w:rsid w:val="00097C02"/>
    <w:rsid w:val="000A0B41"/>
    <w:rsid w:val="000A0B6F"/>
    <w:rsid w:val="000A2C32"/>
    <w:rsid w:val="000A4686"/>
    <w:rsid w:val="000A6039"/>
    <w:rsid w:val="000B2920"/>
    <w:rsid w:val="000B2EDA"/>
    <w:rsid w:val="000B5366"/>
    <w:rsid w:val="000B544F"/>
    <w:rsid w:val="000B5B28"/>
    <w:rsid w:val="000B605E"/>
    <w:rsid w:val="000C0E5D"/>
    <w:rsid w:val="000C1186"/>
    <w:rsid w:val="000C305C"/>
    <w:rsid w:val="000C57FC"/>
    <w:rsid w:val="000C5BC3"/>
    <w:rsid w:val="000C7A24"/>
    <w:rsid w:val="000C7F34"/>
    <w:rsid w:val="000D1FE5"/>
    <w:rsid w:val="000D2C39"/>
    <w:rsid w:val="000D3398"/>
    <w:rsid w:val="000D3AE3"/>
    <w:rsid w:val="000D42FB"/>
    <w:rsid w:val="000D765A"/>
    <w:rsid w:val="000E0D43"/>
    <w:rsid w:val="000E2183"/>
    <w:rsid w:val="000E2602"/>
    <w:rsid w:val="000E3858"/>
    <w:rsid w:val="000E6335"/>
    <w:rsid w:val="000F17BE"/>
    <w:rsid w:val="000F19D6"/>
    <w:rsid w:val="000F1AE6"/>
    <w:rsid w:val="000F2AA1"/>
    <w:rsid w:val="000F3A68"/>
    <w:rsid w:val="000F43B2"/>
    <w:rsid w:val="000F4657"/>
    <w:rsid w:val="000F557E"/>
    <w:rsid w:val="000F6B12"/>
    <w:rsid w:val="000F72CA"/>
    <w:rsid w:val="000F7F02"/>
    <w:rsid w:val="001009B4"/>
    <w:rsid w:val="0010133A"/>
    <w:rsid w:val="00102CD8"/>
    <w:rsid w:val="001048C7"/>
    <w:rsid w:val="00104AD6"/>
    <w:rsid w:val="00105419"/>
    <w:rsid w:val="00105ABA"/>
    <w:rsid w:val="00106A5D"/>
    <w:rsid w:val="00106B96"/>
    <w:rsid w:val="00111BBC"/>
    <w:rsid w:val="00112897"/>
    <w:rsid w:val="00114CB0"/>
    <w:rsid w:val="00114FF2"/>
    <w:rsid w:val="00115C5D"/>
    <w:rsid w:val="00116AAA"/>
    <w:rsid w:val="00116FE2"/>
    <w:rsid w:val="00117CCE"/>
    <w:rsid w:val="00120BC8"/>
    <w:rsid w:val="0012445B"/>
    <w:rsid w:val="001244A6"/>
    <w:rsid w:val="001249B5"/>
    <w:rsid w:val="00125F5D"/>
    <w:rsid w:val="001305B3"/>
    <w:rsid w:val="00130C75"/>
    <w:rsid w:val="001322E9"/>
    <w:rsid w:val="001348EA"/>
    <w:rsid w:val="00136F50"/>
    <w:rsid w:val="0013735A"/>
    <w:rsid w:val="001401DC"/>
    <w:rsid w:val="0014283D"/>
    <w:rsid w:val="00142B2B"/>
    <w:rsid w:val="00143449"/>
    <w:rsid w:val="001447E5"/>
    <w:rsid w:val="0014633F"/>
    <w:rsid w:val="00147EA8"/>
    <w:rsid w:val="0015039A"/>
    <w:rsid w:val="00152E79"/>
    <w:rsid w:val="001532E4"/>
    <w:rsid w:val="00153754"/>
    <w:rsid w:val="0015450F"/>
    <w:rsid w:val="001546AA"/>
    <w:rsid w:val="00154815"/>
    <w:rsid w:val="00155351"/>
    <w:rsid w:val="0016128E"/>
    <w:rsid w:val="00164EBD"/>
    <w:rsid w:val="00170C05"/>
    <w:rsid w:val="00171A1A"/>
    <w:rsid w:val="00171BB8"/>
    <w:rsid w:val="00172C4B"/>
    <w:rsid w:val="00173FF7"/>
    <w:rsid w:val="001744CE"/>
    <w:rsid w:val="0018091B"/>
    <w:rsid w:val="0018200E"/>
    <w:rsid w:val="00183A8C"/>
    <w:rsid w:val="00184B33"/>
    <w:rsid w:val="00184F7E"/>
    <w:rsid w:val="00185599"/>
    <w:rsid w:val="001857DF"/>
    <w:rsid w:val="00190F4D"/>
    <w:rsid w:val="00191305"/>
    <w:rsid w:val="00192C74"/>
    <w:rsid w:val="00193BD2"/>
    <w:rsid w:val="00194BB6"/>
    <w:rsid w:val="001979B0"/>
    <w:rsid w:val="001A0567"/>
    <w:rsid w:val="001A0834"/>
    <w:rsid w:val="001A16A3"/>
    <w:rsid w:val="001A24B5"/>
    <w:rsid w:val="001A45CA"/>
    <w:rsid w:val="001A6981"/>
    <w:rsid w:val="001A7D29"/>
    <w:rsid w:val="001B0C2E"/>
    <w:rsid w:val="001B25A1"/>
    <w:rsid w:val="001B3017"/>
    <w:rsid w:val="001B30B4"/>
    <w:rsid w:val="001B7473"/>
    <w:rsid w:val="001C2E1E"/>
    <w:rsid w:val="001C32C7"/>
    <w:rsid w:val="001C5659"/>
    <w:rsid w:val="001C74EF"/>
    <w:rsid w:val="001C766F"/>
    <w:rsid w:val="001D0FAD"/>
    <w:rsid w:val="001D19CD"/>
    <w:rsid w:val="001D334E"/>
    <w:rsid w:val="001D6152"/>
    <w:rsid w:val="001E1615"/>
    <w:rsid w:val="001E1EB1"/>
    <w:rsid w:val="001E29F6"/>
    <w:rsid w:val="001E3F29"/>
    <w:rsid w:val="001E4F90"/>
    <w:rsid w:val="001E5705"/>
    <w:rsid w:val="001E6CFC"/>
    <w:rsid w:val="001E6D56"/>
    <w:rsid w:val="001E77EC"/>
    <w:rsid w:val="001F11AD"/>
    <w:rsid w:val="001F159E"/>
    <w:rsid w:val="001F161B"/>
    <w:rsid w:val="001F366B"/>
    <w:rsid w:val="001F3A12"/>
    <w:rsid w:val="001F3B62"/>
    <w:rsid w:val="001F41B5"/>
    <w:rsid w:val="001F4F19"/>
    <w:rsid w:val="001F5295"/>
    <w:rsid w:val="001F5368"/>
    <w:rsid w:val="001F556B"/>
    <w:rsid w:val="002006EA"/>
    <w:rsid w:val="0020121F"/>
    <w:rsid w:val="00202E73"/>
    <w:rsid w:val="00207ACA"/>
    <w:rsid w:val="00210820"/>
    <w:rsid w:val="00216ECA"/>
    <w:rsid w:val="0022368B"/>
    <w:rsid w:val="00223BCD"/>
    <w:rsid w:val="00225AF7"/>
    <w:rsid w:val="0022688A"/>
    <w:rsid w:val="00226D5E"/>
    <w:rsid w:val="002309CB"/>
    <w:rsid w:val="00230DA2"/>
    <w:rsid w:val="00233978"/>
    <w:rsid w:val="00236C28"/>
    <w:rsid w:val="00236ED1"/>
    <w:rsid w:val="0024475A"/>
    <w:rsid w:val="00246BD0"/>
    <w:rsid w:val="00247826"/>
    <w:rsid w:val="002478EF"/>
    <w:rsid w:val="00251F03"/>
    <w:rsid w:val="0025227F"/>
    <w:rsid w:val="00253B52"/>
    <w:rsid w:val="00253FCE"/>
    <w:rsid w:val="00255992"/>
    <w:rsid w:val="002600C2"/>
    <w:rsid w:val="00261FE5"/>
    <w:rsid w:val="0026520C"/>
    <w:rsid w:val="00266999"/>
    <w:rsid w:val="00267D85"/>
    <w:rsid w:val="002704BC"/>
    <w:rsid w:val="00271E2B"/>
    <w:rsid w:val="002723C8"/>
    <w:rsid w:val="00272DF6"/>
    <w:rsid w:val="00272F45"/>
    <w:rsid w:val="00280B4F"/>
    <w:rsid w:val="0028228E"/>
    <w:rsid w:val="00282F2E"/>
    <w:rsid w:val="002836D1"/>
    <w:rsid w:val="002836E2"/>
    <w:rsid w:val="00283800"/>
    <w:rsid w:val="00284A60"/>
    <w:rsid w:val="002865A7"/>
    <w:rsid w:val="0028754F"/>
    <w:rsid w:val="002900B2"/>
    <w:rsid w:val="00290882"/>
    <w:rsid w:val="0029093A"/>
    <w:rsid w:val="00291859"/>
    <w:rsid w:val="0029393C"/>
    <w:rsid w:val="002A025C"/>
    <w:rsid w:val="002A3015"/>
    <w:rsid w:val="002A33E4"/>
    <w:rsid w:val="002A363F"/>
    <w:rsid w:val="002A3C77"/>
    <w:rsid w:val="002A400E"/>
    <w:rsid w:val="002A5CB7"/>
    <w:rsid w:val="002B07D8"/>
    <w:rsid w:val="002B3D4E"/>
    <w:rsid w:val="002B4BE0"/>
    <w:rsid w:val="002B7615"/>
    <w:rsid w:val="002B7C93"/>
    <w:rsid w:val="002C1122"/>
    <w:rsid w:val="002C2A86"/>
    <w:rsid w:val="002C3B65"/>
    <w:rsid w:val="002C42FD"/>
    <w:rsid w:val="002C4C86"/>
    <w:rsid w:val="002C4D07"/>
    <w:rsid w:val="002C7DC5"/>
    <w:rsid w:val="002D16B3"/>
    <w:rsid w:val="002D1C42"/>
    <w:rsid w:val="002D31D7"/>
    <w:rsid w:val="002D3684"/>
    <w:rsid w:val="002D4D98"/>
    <w:rsid w:val="002D5115"/>
    <w:rsid w:val="002D5632"/>
    <w:rsid w:val="002D5DBE"/>
    <w:rsid w:val="002E5484"/>
    <w:rsid w:val="002E67F6"/>
    <w:rsid w:val="002F310E"/>
    <w:rsid w:val="00300184"/>
    <w:rsid w:val="00300F20"/>
    <w:rsid w:val="00301D25"/>
    <w:rsid w:val="00304B39"/>
    <w:rsid w:val="003064FB"/>
    <w:rsid w:val="003071F2"/>
    <w:rsid w:val="003074BC"/>
    <w:rsid w:val="00311A9D"/>
    <w:rsid w:val="00311E2F"/>
    <w:rsid w:val="0031286D"/>
    <w:rsid w:val="003132B5"/>
    <w:rsid w:val="00313372"/>
    <w:rsid w:val="003134C1"/>
    <w:rsid w:val="00314099"/>
    <w:rsid w:val="00315179"/>
    <w:rsid w:val="00317041"/>
    <w:rsid w:val="00317EA9"/>
    <w:rsid w:val="00320F89"/>
    <w:rsid w:val="00324DA8"/>
    <w:rsid w:val="00325DBD"/>
    <w:rsid w:val="00326512"/>
    <w:rsid w:val="00326E17"/>
    <w:rsid w:val="00326E86"/>
    <w:rsid w:val="00330D9F"/>
    <w:rsid w:val="003344D0"/>
    <w:rsid w:val="00335C24"/>
    <w:rsid w:val="003376C7"/>
    <w:rsid w:val="00340E36"/>
    <w:rsid w:val="00341B48"/>
    <w:rsid w:val="00341B9F"/>
    <w:rsid w:val="00343404"/>
    <w:rsid w:val="00343716"/>
    <w:rsid w:val="00344712"/>
    <w:rsid w:val="00347AFD"/>
    <w:rsid w:val="0035576C"/>
    <w:rsid w:val="00355F83"/>
    <w:rsid w:val="00357E9E"/>
    <w:rsid w:val="003615AE"/>
    <w:rsid w:val="00361E04"/>
    <w:rsid w:val="00366A96"/>
    <w:rsid w:val="003677D0"/>
    <w:rsid w:val="0037148D"/>
    <w:rsid w:val="003743D8"/>
    <w:rsid w:val="003750D4"/>
    <w:rsid w:val="00376334"/>
    <w:rsid w:val="00376AA4"/>
    <w:rsid w:val="0038114B"/>
    <w:rsid w:val="003811BC"/>
    <w:rsid w:val="003815EF"/>
    <w:rsid w:val="0038176F"/>
    <w:rsid w:val="00381B7B"/>
    <w:rsid w:val="0038208C"/>
    <w:rsid w:val="0038252F"/>
    <w:rsid w:val="0038755D"/>
    <w:rsid w:val="00387582"/>
    <w:rsid w:val="00387F3A"/>
    <w:rsid w:val="003902A4"/>
    <w:rsid w:val="00390C43"/>
    <w:rsid w:val="00393994"/>
    <w:rsid w:val="00393AC8"/>
    <w:rsid w:val="00396D10"/>
    <w:rsid w:val="003976E9"/>
    <w:rsid w:val="003A060E"/>
    <w:rsid w:val="003A3BEB"/>
    <w:rsid w:val="003B0A0B"/>
    <w:rsid w:val="003B1367"/>
    <w:rsid w:val="003B4700"/>
    <w:rsid w:val="003B4D0C"/>
    <w:rsid w:val="003B5205"/>
    <w:rsid w:val="003B65C4"/>
    <w:rsid w:val="003B6FFB"/>
    <w:rsid w:val="003B7EF0"/>
    <w:rsid w:val="003B7F4E"/>
    <w:rsid w:val="003C0CF4"/>
    <w:rsid w:val="003C1237"/>
    <w:rsid w:val="003C2CEF"/>
    <w:rsid w:val="003C6127"/>
    <w:rsid w:val="003C7F58"/>
    <w:rsid w:val="003C7FC1"/>
    <w:rsid w:val="003D0767"/>
    <w:rsid w:val="003D1261"/>
    <w:rsid w:val="003D1A37"/>
    <w:rsid w:val="003D4FD4"/>
    <w:rsid w:val="003D5B89"/>
    <w:rsid w:val="003E093A"/>
    <w:rsid w:val="003E0CBA"/>
    <w:rsid w:val="003E135E"/>
    <w:rsid w:val="003E249E"/>
    <w:rsid w:val="003E4159"/>
    <w:rsid w:val="003E7134"/>
    <w:rsid w:val="003F0E39"/>
    <w:rsid w:val="003F5B58"/>
    <w:rsid w:val="00401979"/>
    <w:rsid w:val="00401D92"/>
    <w:rsid w:val="004020F4"/>
    <w:rsid w:val="00402159"/>
    <w:rsid w:val="00403F2A"/>
    <w:rsid w:val="0040441F"/>
    <w:rsid w:val="0040569B"/>
    <w:rsid w:val="00405B6B"/>
    <w:rsid w:val="00406D15"/>
    <w:rsid w:val="00407301"/>
    <w:rsid w:val="00412C01"/>
    <w:rsid w:val="004153C5"/>
    <w:rsid w:val="00415D4E"/>
    <w:rsid w:val="00416574"/>
    <w:rsid w:val="0041715B"/>
    <w:rsid w:val="0041739F"/>
    <w:rsid w:val="0042122A"/>
    <w:rsid w:val="00423581"/>
    <w:rsid w:val="004267A2"/>
    <w:rsid w:val="0043083A"/>
    <w:rsid w:val="00430FB2"/>
    <w:rsid w:val="00432738"/>
    <w:rsid w:val="00435CF0"/>
    <w:rsid w:val="0043784D"/>
    <w:rsid w:val="00445043"/>
    <w:rsid w:val="004450E2"/>
    <w:rsid w:val="00445779"/>
    <w:rsid w:val="004466BD"/>
    <w:rsid w:val="00451831"/>
    <w:rsid w:val="0045496D"/>
    <w:rsid w:val="00454C64"/>
    <w:rsid w:val="00455397"/>
    <w:rsid w:val="00455FF7"/>
    <w:rsid w:val="004620CA"/>
    <w:rsid w:val="00463817"/>
    <w:rsid w:val="004670F6"/>
    <w:rsid w:val="004675B7"/>
    <w:rsid w:val="00471B86"/>
    <w:rsid w:val="004738F9"/>
    <w:rsid w:val="00473CF3"/>
    <w:rsid w:val="00474795"/>
    <w:rsid w:val="004751DD"/>
    <w:rsid w:val="0047528C"/>
    <w:rsid w:val="004755AB"/>
    <w:rsid w:val="00477369"/>
    <w:rsid w:val="00477544"/>
    <w:rsid w:val="00483E62"/>
    <w:rsid w:val="004853A0"/>
    <w:rsid w:val="0049127B"/>
    <w:rsid w:val="00495417"/>
    <w:rsid w:val="0049593C"/>
    <w:rsid w:val="004976F0"/>
    <w:rsid w:val="004A128C"/>
    <w:rsid w:val="004A32BB"/>
    <w:rsid w:val="004B2355"/>
    <w:rsid w:val="004B273A"/>
    <w:rsid w:val="004B715A"/>
    <w:rsid w:val="004C0EB2"/>
    <w:rsid w:val="004C1CCE"/>
    <w:rsid w:val="004C29E7"/>
    <w:rsid w:val="004C3675"/>
    <w:rsid w:val="004C5568"/>
    <w:rsid w:val="004C6A74"/>
    <w:rsid w:val="004D06E1"/>
    <w:rsid w:val="004D1177"/>
    <w:rsid w:val="004D6453"/>
    <w:rsid w:val="004E07A1"/>
    <w:rsid w:val="004E357B"/>
    <w:rsid w:val="004E389F"/>
    <w:rsid w:val="004E3E0E"/>
    <w:rsid w:val="004E3F07"/>
    <w:rsid w:val="004F040F"/>
    <w:rsid w:val="004F2618"/>
    <w:rsid w:val="004F28D6"/>
    <w:rsid w:val="004F3351"/>
    <w:rsid w:val="004F45CC"/>
    <w:rsid w:val="004F556C"/>
    <w:rsid w:val="00501750"/>
    <w:rsid w:val="00504F75"/>
    <w:rsid w:val="00506A84"/>
    <w:rsid w:val="0050786B"/>
    <w:rsid w:val="00507BF4"/>
    <w:rsid w:val="00511DA0"/>
    <w:rsid w:val="00513B1E"/>
    <w:rsid w:val="005161A0"/>
    <w:rsid w:val="005162C2"/>
    <w:rsid w:val="00516400"/>
    <w:rsid w:val="00522BFA"/>
    <w:rsid w:val="00522E3C"/>
    <w:rsid w:val="0052391C"/>
    <w:rsid w:val="005316BF"/>
    <w:rsid w:val="00535507"/>
    <w:rsid w:val="005361BE"/>
    <w:rsid w:val="0053638F"/>
    <w:rsid w:val="00537188"/>
    <w:rsid w:val="00537C66"/>
    <w:rsid w:val="00540C3E"/>
    <w:rsid w:val="0054256A"/>
    <w:rsid w:val="00542625"/>
    <w:rsid w:val="0054281B"/>
    <w:rsid w:val="00545B55"/>
    <w:rsid w:val="00547548"/>
    <w:rsid w:val="00550143"/>
    <w:rsid w:val="00550178"/>
    <w:rsid w:val="00550715"/>
    <w:rsid w:val="0055721A"/>
    <w:rsid w:val="00561564"/>
    <w:rsid w:val="00562938"/>
    <w:rsid w:val="00564325"/>
    <w:rsid w:val="0056542E"/>
    <w:rsid w:val="00565AD2"/>
    <w:rsid w:val="00566199"/>
    <w:rsid w:val="0056622D"/>
    <w:rsid w:val="00567656"/>
    <w:rsid w:val="00571628"/>
    <w:rsid w:val="00572A0A"/>
    <w:rsid w:val="00572A53"/>
    <w:rsid w:val="005747F6"/>
    <w:rsid w:val="00574B34"/>
    <w:rsid w:val="00574E06"/>
    <w:rsid w:val="005757E7"/>
    <w:rsid w:val="0057649C"/>
    <w:rsid w:val="00576BFC"/>
    <w:rsid w:val="005808BD"/>
    <w:rsid w:val="00581D36"/>
    <w:rsid w:val="00590ED7"/>
    <w:rsid w:val="00591C71"/>
    <w:rsid w:val="00594DF3"/>
    <w:rsid w:val="00596E01"/>
    <w:rsid w:val="00596F93"/>
    <w:rsid w:val="005971B2"/>
    <w:rsid w:val="005A0AB0"/>
    <w:rsid w:val="005A0C52"/>
    <w:rsid w:val="005A142D"/>
    <w:rsid w:val="005A2B0C"/>
    <w:rsid w:val="005A54BA"/>
    <w:rsid w:val="005A68BA"/>
    <w:rsid w:val="005B189D"/>
    <w:rsid w:val="005B1E1E"/>
    <w:rsid w:val="005B24EC"/>
    <w:rsid w:val="005B32EE"/>
    <w:rsid w:val="005B4181"/>
    <w:rsid w:val="005C0509"/>
    <w:rsid w:val="005C06B4"/>
    <w:rsid w:val="005C0788"/>
    <w:rsid w:val="005C2C80"/>
    <w:rsid w:val="005C4787"/>
    <w:rsid w:val="005C6E71"/>
    <w:rsid w:val="005C7F70"/>
    <w:rsid w:val="005D1578"/>
    <w:rsid w:val="005D192B"/>
    <w:rsid w:val="005D1C66"/>
    <w:rsid w:val="005D3594"/>
    <w:rsid w:val="005D4076"/>
    <w:rsid w:val="005D575C"/>
    <w:rsid w:val="005D65A9"/>
    <w:rsid w:val="005D65CE"/>
    <w:rsid w:val="005D6A3A"/>
    <w:rsid w:val="005D6B9C"/>
    <w:rsid w:val="005D76B5"/>
    <w:rsid w:val="005E093F"/>
    <w:rsid w:val="005E1838"/>
    <w:rsid w:val="005E1CD9"/>
    <w:rsid w:val="005E2342"/>
    <w:rsid w:val="005E26AA"/>
    <w:rsid w:val="005E4823"/>
    <w:rsid w:val="005E5966"/>
    <w:rsid w:val="005E6C2E"/>
    <w:rsid w:val="005E7058"/>
    <w:rsid w:val="005F0721"/>
    <w:rsid w:val="005F0CED"/>
    <w:rsid w:val="005F13B0"/>
    <w:rsid w:val="005F1D54"/>
    <w:rsid w:val="005F2DDD"/>
    <w:rsid w:val="005F483E"/>
    <w:rsid w:val="00601D35"/>
    <w:rsid w:val="006036EB"/>
    <w:rsid w:val="00603FDE"/>
    <w:rsid w:val="0060616B"/>
    <w:rsid w:val="0060736B"/>
    <w:rsid w:val="00607A59"/>
    <w:rsid w:val="006100BC"/>
    <w:rsid w:val="00610A7F"/>
    <w:rsid w:val="00611388"/>
    <w:rsid w:val="006120E4"/>
    <w:rsid w:val="00612CF6"/>
    <w:rsid w:val="00616C18"/>
    <w:rsid w:val="00617332"/>
    <w:rsid w:val="0061792C"/>
    <w:rsid w:val="00620592"/>
    <w:rsid w:val="00621A69"/>
    <w:rsid w:val="00624B1A"/>
    <w:rsid w:val="006269B8"/>
    <w:rsid w:val="00631A4C"/>
    <w:rsid w:val="00631B81"/>
    <w:rsid w:val="00632BB8"/>
    <w:rsid w:val="00635839"/>
    <w:rsid w:val="00640AEE"/>
    <w:rsid w:val="00640B95"/>
    <w:rsid w:val="006416C7"/>
    <w:rsid w:val="00642DCC"/>
    <w:rsid w:val="00644F42"/>
    <w:rsid w:val="00646423"/>
    <w:rsid w:val="00646C07"/>
    <w:rsid w:val="00647416"/>
    <w:rsid w:val="00653535"/>
    <w:rsid w:val="006576FA"/>
    <w:rsid w:val="00661985"/>
    <w:rsid w:val="006619BE"/>
    <w:rsid w:val="006619F4"/>
    <w:rsid w:val="00663B33"/>
    <w:rsid w:val="006645E4"/>
    <w:rsid w:val="006648F9"/>
    <w:rsid w:val="00664CC2"/>
    <w:rsid w:val="00666412"/>
    <w:rsid w:val="00670904"/>
    <w:rsid w:val="00671CC2"/>
    <w:rsid w:val="00673D72"/>
    <w:rsid w:val="00673E5F"/>
    <w:rsid w:val="00676135"/>
    <w:rsid w:val="00680695"/>
    <w:rsid w:val="00682752"/>
    <w:rsid w:val="00684298"/>
    <w:rsid w:val="00684EAF"/>
    <w:rsid w:val="00685096"/>
    <w:rsid w:val="006866F2"/>
    <w:rsid w:val="006879E4"/>
    <w:rsid w:val="006879FE"/>
    <w:rsid w:val="006908F2"/>
    <w:rsid w:val="00691038"/>
    <w:rsid w:val="00691B71"/>
    <w:rsid w:val="00691DA4"/>
    <w:rsid w:val="00695893"/>
    <w:rsid w:val="00696930"/>
    <w:rsid w:val="006978C4"/>
    <w:rsid w:val="006A24F7"/>
    <w:rsid w:val="006A401F"/>
    <w:rsid w:val="006A414F"/>
    <w:rsid w:val="006A4776"/>
    <w:rsid w:val="006A6183"/>
    <w:rsid w:val="006B0047"/>
    <w:rsid w:val="006B07D0"/>
    <w:rsid w:val="006B17F8"/>
    <w:rsid w:val="006B2B55"/>
    <w:rsid w:val="006B2BCB"/>
    <w:rsid w:val="006B416A"/>
    <w:rsid w:val="006B46D6"/>
    <w:rsid w:val="006B6B05"/>
    <w:rsid w:val="006B6BF0"/>
    <w:rsid w:val="006C1D8F"/>
    <w:rsid w:val="006C2649"/>
    <w:rsid w:val="006C267D"/>
    <w:rsid w:val="006C5C7C"/>
    <w:rsid w:val="006D35A6"/>
    <w:rsid w:val="006D7BB0"/>
    <w:rsid w:val="006E131C"/>
    <w:rsid w:val="006E1D38"/>
    <w:rsid w:val="006E1F96"/>
    <w:rsid w:val="006E2275"/>
    <w:rsid w:val="006E32D1"/>
    <w:rsid w:val="006E3717"/>
    <w:rsid w:val="006E3CA3"/>
    <w:rsid w:val="006E5EFA"/>
    <w:rsid w:val="006E60B1"/>
    <w:rsid w:val="006E63DA"/>
    <w:rsid w:val="006E65CC"/>
    <w:rsid w:val="006F094A"/>
    <w:rsid w:val="006F0BA0"/>
    <w:rsid w:val="006F4009"/>
    <w:rsid w:val="006F55C3"/>
    <w:rsid w:val="006F600A"/>
    <w:rsid w:val="006F6477"/>
    <w:rsid w:val="006F6600"/>
    <w:rsid w:val="006F6658"/>
    <w:rsid w:val="0070067B"/>
    <w:rsid w:val="00702080"/>
    <w:rsid w:val="007058CC"/>
    <w:rsid w:val="007061FB"/>
    <w:rsid w:val="00706B24"/>
    <w:rsid w:val="00706D55"/>
    <w:rsid w:val="00707B27"/>
    <w:rsid w:val="007107E1"/>
    <w:rsid w:val="00711E45"/>
    <w:rsid w:val="00711F23"/>
    <w:rsid w:val="00712516"/>
    <w:rsid w:val="0071352F"/>
    <w:rsid w:val="00713E9F"/>
    <w:rsid w:val="0071453F"/>
    <w:rsid w:val="00714790"/>
    <w:rsid w:val="007148E3"/>
    <w:rsid w:val="00716283"/>
    <w:rsid w:val="007237CF"/>
    <w:rsid w:val="00723E47"/>
    <w:rsid w:val="00725CC0"/>
    <w:rsid w:val="00726DF8"/>
    <w:rsid w:val="0073091E"/>
    <w:rsid w:val="007321EA"/>
    <w:rsid w:val="007327C8"/>
    <w:rsid w:val="00732C95"/>
    <w:rsid w:val="00736521"/>
    <w:rsid w:val="00737564"/>
    <w:rsid w:val="0074194D"/>
    <w:rsid w:val="0074303B"/>
    <w:rsid w:val="0074454B"/>
    <w:rsid w:val="00744EAE"/>
    <w:rsid w:val="0075010A"/>
    <w:rsid w:val="0075127C"/>
    <w:rsid w:val="007521EC"/>
    <w:rsid w:val="00752669"/>
    <w:rsid w:val="00756762"/>
    <w:rsid w:val="00757638"/>
    <w:rsid w:val="007628F6"/>
    <w:rsid w:val="007644EB"/>
    <w:rsid w:val="007675DD"/>
    <w:rsid w:val="00771049"/>
    <w:rsid w:val="00773485"/>
    <w:rsid w:val="0078383E"/>
    <w:rsid w:val="00783CB7"/>
    <w:rsid w:val="00785154"/>
    <w:rsid w:val="007941A9"/>
    <w:rsid w:val="00794203"/>
    <w:rsid w:val="00794C2F"/>
    <w:rsid w:val="007955F5"/>
    <w:rsid w:val="00797CC5"/>
    <w:rsid w:val="007A235D"/>
    <w:rsid w:val="007A24BD"/>
    <w:rsid w:val="007A2E02"/>
    <w:rsid w:val="007A4F27"/>
    <w:rsid w:val="007A62AA"/>
    <w:rsid w:val="007A6FB3"/>
    <w:rsid w:val="007B3888"/>
    <w:rsid w:val="007B4FA6"/>
    <w:rsid w:val="007C085A"/>
    <w:rsid w:val="007C160E"/>
    <w:rsid w:val="007C1D15"/>
    <w:rsid w:val="007C2771"/>
    <w:rsid w:val="007C2D18"/>
    <w:rsid w:val="007C2FE9"/>
    <w:rsid w:val="007C45BE"/>
    <w:rsid w:val="007C6683"/>
    <w:rsid w:val="007C7EF0"/>
    <w:rsid w:val="007D13C4"/>
    <w:rsid w:val="007D142D"/>
    <w:rsid w:val="007D36A4"/>
    <w:rsid w:val="007D5816"/>
    <w:rsid w:val="007D6D0B"/>
    <w:rsid w:val="007D6F2D"/>
    <w:rsid w:val="007D6F76"/>
    <w:rsid w:val="007D78E8"/>
    <w:rsid w:val="007E4A3C"/>
    <w:rsid w:val="007E563F"/>
    <w:rsid w:val="007F0E50"/>
    <w:rsid w:val="007F3A94"/>
    <w:rsid w:val="007F40BE"/>
    <w:rsid w:val="007F49E8"/>
    <w:rsid w:val="007F4BEC"/>
    <w:rsid w:val="007F4FF4"/>
    <w:rsid w:val="007F69DB"/>
    <w:rsid w:val="0080349A"/>
    <w:rsid w:val="00804382"/>
    <w:rsid w:val="00804A3E"/>
    <w:rsid w:val="0081174C"/>
    <w:rsid w:val="008121E5"/>
    <w:rsid w:val="008123E8"/>
    <w:rsid w:val="008131DF"/>
    <w:rsid w:val="00813DED"/>
    <w:rsid w:val="008143D5"/>
    <w:rsid w:val="008168CE"/>
    <w:rsid w:val="00816B33"/>
    <w:rsid w:val="00817182"/>
    <w:rsid w:val="008208F3"/>
    <w:rsid w:val="00820A38"/>
    <w:rsid w:val="00821E27"/>
    <w:rsid w:val="00822199"/>
    <w:rsid w:val="00822E67"/>
    <w:rsid w:val="008234B1"/>
    <w:rsid w:val="00823990"/>
    <w:rsid w:val="00826594"/>
    <w:rsid w:val="00826C14"/>
    <w:rsid w:val="00827895"/>
    <w:rsid w:val="008305EB"/>
    <w:rsid w:val="00830785"/>
    <w:rsid w:val="008321E7"/>
    <w:rsid w:val="008334CC"/>
    <w:rsid w:val="00833901"/>
    <w:rsid w:val="00834C28"/>
    <w:rsid w:val="008352DF"/>
    <w:rsid w:val="00837DF0"/>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48C6"/>
    <w:rsid w:val="00885915"/>
    <w:rsid w:val="008865BF"/>
    <w:rsid w:val="00887967"/>
    <w:rsid w:val="00887C9F"/>
    <w:rsid w:val="00890187"/>
    <w:rsid w:val="00890D8B"/>
    <w:rsid w:val="0089109A"/>
    <w:rsid w:val="008910C4"/>
    <w:rsid w:val="00894CF2"/>
    <w:rsid w:val="008951A4"/>
    <w:rsid w:val="008A000A"/>
    <w:rsid w:val="008A0462"/>
    <w:rsid w:val="008A0E6F"/>
    <w:rsid w:val="008A43DE"/>
    <w:rsid w:val="008A6482"/>
    <w:rsid w:val="008A7009"/>
    <w:rsid w:val="008A7405"/>
    <w:rsid w:val="008B0BE8"/>
    <w:rsid w:val="008B11BB"/>
    <w:rsid w:val="008B314E"/>
    <w:rsid w:val="008B427D"/>
    <w:rsid w:val="008B7274"/>
    <w:rsid w:val="008C5942"/>
    <w:rsid w:val="008C7370"/>
    <w:rsid w:val="008C7379"/>
    <w:rsid w:val="008D1066"/>
    <w:rsid w:val="008D1449"/>
    <w:rsid w:val="008D258C"/>
    <w:rsid w:val="008D348E"/>
    <w:rsid w:val="008D5CEF"/>
    <w:rsid w:val="008D6825"/>
    <w:rsid w:val="008D73D6"/>
    <w:rsid w:val="008D75CE"/>
    <w:rsid w:val="008D7921"/>
    <w:rsid w:val="008E27D9"/>
    <w:rsid w:val="008E37DF"/>
    <w:rsid w:val="008E5032"/>
    <w:rsid w:val="008E736E"/>
    <w:rsid w:val="008E77D4"/>
    <w:rsid w:val="008E7AC5"/>
    <w:rsid w:val="008F01E3"/>
    <w:rsid w:val="008F3BB3"/>
    <w:rsid w:val="008F567D"/>
    <w:rsid w:val="00902C8B"/>
    <w:rsid w:val="0090358C"/>
    <w:rsid w:val="00904363"/>
    <w:rsid w:val="00910034"/>
    <w:rsid w:val="00910969"/>
    <w:rsid w:val="00915C3E"/>
    <w:rsid w:val="00916890"/>
    <w:rsid w:val="009175E0"/>
    <w:rsid w:val="00925865"/>
    <w:rsid w:val="00925E8A"/>
    <w:rsid w:val="00926023"/>
    <w:rsid w:val="0092639D"/>
    <w:rsid w:val="0093118F"/>
    <w:rsid w:val="00931979"/>
    <w:rsid w:val="009336BE"/>
    <w:rsid w:val="00936165"/>
    <w:rsid w:val="009375A9"/>
    <w:rsid w:val="009379B6"/>
    <w:rsid w:val="009403C6"/>
    <w:rsid w:val="00941579"/>
    <w:rsid w:val="00941728"/>
    <w:rsid w:val="00944B40"/>
    <w:rsid w:val="0094587B"/>
    <w:rsid w:val="00952603"/>
    <w:rsid w:val="009533F7"/>
    <w:rsid w:val="00954B70"/>
    <w:rsid w:val="00954D18"/>
    <w:rsid w:val="00955079"/>
    <w:rsid w:val="00955BFE"/>
    <w:rsid w:val="00957783"/>
    <w:rsid w:val="00957B50"/>
    <w:rsid w:val="009617EF"/>
    <w:rsid w:val="009620DC"/>
    <w:rsid w:val="00964359"/>
    <w:rsid w:val="00964610"/>
    <w:rsid w:val="0096538E"/>
    <w:rsid w:val="00970F81"/>
    <w:rsid w:val="00971623"/>
    <w:rsid w:val="00973ACF"/>
    <w:rsid w:val="0097512A"/>
    <w:rsid w:val="0098013F"/>
    <w:rsid w:val="00981192"/>
    <w:rsid w:val="009836D6"/>
    <w:rsid w:val="00983BBD"/>
    <w:rsid w:val="00983ED2"/>
    <w:rsid w:val="00987523"/>
    <w:rsid w:val="00990EDC"/>
    <w:rsid w:val="009924DE"/>
    <w:rsid w:val="00994609"/>
    <w:rsid w:val="0099516D"/>
    <w:rsid w:val="0099535F"/>
    <w:rsid w:val="009965C4"/>
    <w:rsid w:val="009A1CA5"/>
    <w:rsid w:val="009A35C7"/>
    <w:rsid w:val="009A38EF"/>
    <w:rsid w:val="009A3B70"/>
    <w:rsid w:val="009A3D30"/>
    <w:rsid w:val="009A4EB5"/>
    <w:rsid w:val="009A6656"/>
    <w:rsid w:val="009A66F3"/>
    <w:rsid w:val="009A6E85"/>
    <w:rsid w:val="009A7ABF"/>
    <w:rsid w:val="009B0470"/>
    <w:rsid w:val="009B161D"/>
    <w:rsid w:val="009B1CF2"/>
    <w:rsid w:val="009B37FE"/>
    <w:rsid w:val="009B3EBB"/>
    <w:rsid w:val="009B6B84"/>
    <w:rsid w:val="009C0EF5"/>
    <w:rsid w:val="009C167C"/>
    <w:rsid w:val="009C571B"/>
    <w:rsid w:val="009C6926"/>
    <w:rsid w:val="009D02E6"/>
    <w:rsid w:val="009D1A9C"/>
    <w:rsid w:val="009D217F"/>
    <w:rsid w:val="009D41D2"/>
    <w:rsid w:val="009D4AA1"/>
    <w:rsid w:val="009D7B30"/>
    <w:rsid w:val="009E2DB4"/>
    <w:rsid w:val="009E39DA"/>
    <w:rsid w:val="009E4F3A"/>
    <w:rsid w:val="009E655F"/>
    <w:rsid w:val="009E66C2"/>
    <w:rsid w:val="009F1315"/>
    <w:rsid w:val="009F1776"/>
    <w:rsid w:val="009F2F97"/>
    <w:rsid w:val="009F4C3A"/>
    <w:rsid w:val="009F4ECF"/>
    <w:rsid w:val="00A0039A"/>
    <w:rsid w:val="00A01304"/>
    <w:rsid w:val="00A01C3F"/>
    <w:rsid w:val="00A037F9"/>
    <w:rsid w:val="00A04475"/>
    <w:rsid w:val="00A10FAD"/>
    <w:rsid w:val="00A11E73"/>
    <w:rsid w:val="00A13069"/>
    <w:rsid w:val="00A13A5B"/>
    <w:rsid w:val="00A14566"/>
    <w:rsid w:val="00A1621D"/>
    <w:rsid w:val="00A17172"/>
    <w:rsid w:val="00A23505"/>
    <w:rsid w:val="00A254F9"/>
    <w:rsid w:val="00A263E6"/>
    <w:rsid w:val="00A26819"/>
    <w:rsid w:val="00A26D59"/>
    <w:rsid w:val="00A2740E"/>
    <w:rsid w:val="00A34EF3"/>
    <w:rsid w:val="00A35DFD"/>
    <w:rsid w:val="00A37B2B"/>
    <w:rsid w:val="00A4335C"/>
    <w:rsid w:val="00A45A06"/>
    <w:rsid w:val="00A5031C"/>
    <w:rsid w:val="00A53738"/>
    <w:rsid w:val="00A5419A"/>
    <w:rsid w:val="00A5471C"/>
    <w:rsid w:val="00A54747"/>
    <w:rsid w:val="00A55C39"/>
    <w:rsid w:val="00A570CE"/>
    <w:rsid w:val="00A60BB1"/>
    <w:rsid w:val="00A61EBF"/>
    <w:rsid w:val="00A62202"/>
    <w:rsid w:val="00A62FD5"/>
    <w:rsid w:val="00A63FE6"/>
    <w:rsid w:val="00A64A29"/>
    <w:rsid w:val="00A66C5C"/>
    <w:rsid w:val="00A67A5F"/>
    <w:rsid w:val="00A7154D"/>
    <w:rsid w:val="00A721BF"/>
    <w:rsid w:val="00A74963"/>
    <w:rsid w:val="00A74A8F"/>
    <w:rsid w:val="00A74E4F"/>
    <w:rsid w:val="00A76370"/>
    <w:rsid w:val="00A76C2F"/>
    <w:rsid w:val="00A80961"/>
    <w:rsid w:val="00A819A8"/>
    <w:rsid w:val="00A83A3E"/>
    <w:rsid w:val="00A8424E"/>
    <w:rsid w:val="00A859A6"/>
    <w:rsid w:val="00A861D7"/>
    <w:rsid w:val="00A86B71"/>
    <w:rsid w:val="00A86BB5"/>
    <w:rsid w:val="00A91D16"/>
    <w:rsid w:val="00A92CBC"/>
    <w:rsid w:val="00A92D16"/>
    <w:rsid w:val="00A94D70"/>
    <w:rsid w:val="00A95BBD"/>
    <w:rsid w:val="00AA18D6"/>
    <w:rsid w:val="00AA2410"/>
    <w:rsid w:val="00AA4D24"/>
    <w:rsid w:val="00AA4D4F"/>
    <w:rsid w:val="00AA5583"/>
    <w:rsid w:val="00AA6EF5"/>
    <w:rsid w:val="00AA764D"/>
    <w:rsid w:val="00AB0EA5"/>
    <w:rsid w:val="00AB15DE"/>
    <w:rsid w:val="00AB52B4"/>
    <w:rsid w:val="00AB62FC"/>
    <w:rsid w:val="00AC0E1B"/>
    <w:rsid w:val="00AC1FEF"/>
    <w:rsid w:val="00AC4D93"/>
    <w:rsid w:val="00AC4F2E"/>
    <w:rsid w:val="00AC673A"/>
    <w:rsid w:val="00AC6873"/>
    <w:rsid w:val="00AC749B"/>
    <w:rsid w:val="00AD0C0C"/>
    <w:rsid w:val="00AD2401"/>
    <w:rsid w:val="00AD67B7"/>
    <w:rsid w:val="00AE0573"/>
    <w:rsid w:val="00AE0676"/>
    <w:rsid w:val="00AE1A09"/>
    <w:rsid w:val="00AE1CFB"/>
    <w:rsid w:val="00AE24A1"/>
    <w:rsid w:val="00AE2943"/>
    <w:rsid w:val="00AE3CDF"/>
    <w:rsid w:val="00AE57D1"/>
    <w:rsid w:val="00AE66BD"/>
    <w:rsid w:val="00AE6C54"/>
    <w:rsid w:val="00AE7CAB"/>
    <w:rsid w:val="00AF1091"/>
    <w:rsid w:val="00AF2E1B"/>
    <w:rsid w:val="00AF7F9A"/>
    <w:rsid w:val="00B01FA5"/>
    <w:rsid w:val="00B03642"/>
    <w:rsid w:val="00B03B02"/>
    <w:rsid w:val="00B04410"/>
    <w:rsid w:val="00B04BFF"/>
    <w:rsid w:val="00B0525C"/>
    <w:rsid w:val="00B11FDE"/>
    <w:rsid w:val="00B13008"/>
    <w:rsid w:val="00B13170"/>
    <w:rsid w:val="00B1534A"/>
    <w:rsid w:val="00B16620"/>
    <w:rsid w:val="00B16CE8"/>
    <w:rsid w:val="00B2068F"/>
    <w:rsid w:val="00B207F0"/>
    <w:rsid w:val="00B23272"/>
    <w:rsid w:val="00B24F16"/>
    <w:rsid w:val="00B3135A"/>
    <w:rsid w:val="00B32619"/>
    <w:rsid w:val="00B329D7"/>
    <w:rsid w:val="00B331C4"/>
    <w:rsid w:val="00B333FF"/>
    <w:rsid w:val="00B345FC"/>
    <w:rsid w:val="00B34AF4"/>
    <w:rsid w:val="00B365C4"/>
    <w:rsid w:val="00B409C9"/>
    <w:rsid w:val="00B40E22"/>
    <w:rsid w:val="00B41CA6"/>
    <w:rsid w:val="00B426F8"/>
    <w:rsid w:val="00B42775"/>
    <w:rsid w:val="00B43A77"/>
    <w:rsid w:val="00B43DA3"/>
    <w:rsid w:val="00B461F3"/>
    <w:rsid w:val="00B470BC"/>
    <w:rsid w:val="00B50405"/>
    <w:rsid w:val="00B51206"/>
    <w:rsid w:val="00B515FF"/>
    <w:rsid w:val="00B53427"/>
    <w:rsid w:val="00B53BC2"/>
    <w:rsid w:val="00B54558"/>
    <w:rsid w:val="00B54960"/>
    <w:rsid w:val="00B56F24"/>
    <w:rsid w:val="00B57393"/>
    <w:rsid w:val="00B60DBA"/>
    <w:rsid w:val="00B64E2E"/>
    <w:rsid w:val="00B65B6C"/>
    <w:rsid w:val="00B65E4C"/>
    <w:rsid w:val="00B712E4"/>
    <w:rsid w:val="00B71424"/>
    <w:rsid w:val="00B71D55"/>
    <w:rsid w:val="00B72B76"/>
    <w:rsid w:val="00B75AEA"/>
    <w:rsid w:val="00B777D5"/>
    <w:rsid w:val="00B80071"/>
    <w:rsid w:val="00B826E9"/>
    <w:rsid w:val="00B82774"/>
    <w:rsid w:val="00B850B9"/>
    <w:rsid w:val="00B90348"/>
    <w:rsid w:val="00B910E2"/>
    <w:rsid w:val="00B9283B"/>
    <w:rsid w:val="00B92C7F"/>
    <w:rsid w:val="00B96039"/>
    <w:rsid w:val="00B969D3"/>
    <w:rsid w:val="00BA1E36"/>
    <w:rsid w:val="00BA1FE5"/>
    <w:rsid w:val="00BA6372"/>
    <w:rsid w:val="00BA6D80"/>
    <w:rsid w:val="00BA7473"/>
    <w:rsid w:val="00BB2806"/>
    <w:rsid w:val="00BB45C0"/>
    <w:rsid w:val="00BB55CA"/>
    <w:rsid w:val="00BB5B58"/>
    <w:rsid w:val="00BB60A1"/>
    <w:rsid w:val="00BB6ED0"/>
    <w:rsid w:val="00BC043A"/>
    <w:rsid w:val="00BC24AB"/>
    <w:rsid w:val="00BC35E8"/>
    <w:rsid w:val="00BC384D"/>
    <w:rsid w:val="00BC4104"/>
    <w:rsid w:val="00BC601C"/>
    <w:rsid w:val="00BD1C20"/>
    <w:rsid w:val="00BD1C4B"/>
    <w:rsid w:val="00BD4EEA"/>
    <w:rsid w:val="00BD54B5"/>
    <w:rsid w:val="00BD6937"/>
    <w:rsid w:val="00BD79EF"/>
    <w:rsid w:val="00BE0275"/>
    <w:rsid w:val="00BE23A4"/>
    <w:rsid w:val="00BE6172"/>
    <w:rsid w:val="00BE66CD"/>
    <w:rsid w:val="00BE74FA"/>
    <w:rsid w:val="00BF344D"/>
    <w:rsid w:val="00BF36D4"/>
    <w:rsid w:val="00BF419E"/>
    <w:rsid w:val="00C00714"/>
    <w:rsid w:val="00C01118"/>
    <w:rsid w:val="00C0119A"/>
    <w:rsid w:val="00C04396"/>
    <w:rsid w:val="00C044BD"/>
    <w:rsid w:val="00C0752F"/>
    <w:rsid w:val="00C10D1B"/>
    <w:rsid w:val="00C11456"/>
    <w:rsid w:val="00C12AA2"/>
    <w:rsid w:val="00C135C7"/>
    <w:rsid w:val="00C1397F"/>
    <w:rsid w:val="00C139C6"/>
    <w:rsid w:val="00C15767"/>
    <w:rsid w:val="00C15D89"/>
    <w:rsid w:val="00C1738C"/>
    <w:rsid w:val="00C17465"/>
    <w:rsid w:val="00C17994"/>
    <w:rsid w:val="00C17D4C"/>
    <w:rsid w:val="00C21381"/>
    <w:rsid w:val="00C22D7B"/>
    <w:rsid w:val="00C25699"/>
    <w:rsid w:val="00C25950"/>
    <w:rsid w:val="00C309B5"/>
    <w:rsid w:val="00C313A0"/>
    <w:rsid w:val="00C32AD7"/>
    <w:rsid w:val="00C372D4"/>
    <w:rsid w:val="00C4305A"/>
    <w:rsid w:val="00C442F7"/>
    <w:rsid w:val="00C4611B"/>
    <w:rsid w:val="00C46A8D"/>
    <w:rsid w:val="00C4769A"/>
    <w:rsid w:val="00C50977"/>
    <w:rsid w:val="00C536FD"/>
    <w:rsid w:val="00C539A1"/>
    <w:rsid w:val="00C54254"/>
    <w:rsid w:val="00C5610B"/>
    <w:rsid w:val="00C564F6"/>
    <w:rsid w:val="00C633AE"/>
    <w:rsid w:val="00C634CB"/>
    <w:rsid w:val="00C634E9"/>
    <w:rsid w:val="00C640E2"/>
    <w:rsid w:val="00C6426B"/>
    <w:rsid w:val="00C66E2B"/>
    <w:rsid w:val="00C717D7"/>
    <w:rsid w:val="00C74949"/>
    <w:rsid w:val="00C74B18"/>
    <w:rsid w:val="00C7534D"/>
    <w:rsid w:val="00C75899"/>
    <w:rsid w:val="00C75933"/>
    <w:rsid w:val="00C76716"/>
    <w:rsid w:val="00C76D9E"/>
    <w:rsid w:val="00C83D98"/>
    <w:rsid w:val="00C840F5"/>
    <w:rsid w:val="00C84145"/>
    <w:rsid w:val="00C8634C"/>
    <w:rsid w:val="00C87A60"/>
    <w:rsid w:val="00C87D21"/>
    <w:rsid w:val="00C87F46"/>
    <w:rsid w:val="00C90086"/>
    <w:rsid w:val="00C9023B"/>
    <w:rsid w:val="00C92C38"/>
    <w:rsid w:val="00C97BCD"/>
    <w:rsid w:val="00C97CB7"/>
    <w:rsid w:val="00C97FEC"/>
    <w:rsid w:val="00CA15D1"/>
    <w:rsid w:val="00CA4FC2"/>
    <w:rsid w:val="00CA504D"/>
    <w:rsid w:val="00CA53B1"/>
    <w:rsid w:val="00CA6110"/>
    <w:rsid w:val="00CA6146"/>
    <w:rsid w:val="00CA791A"/>
    <w:rsid w:val="00CA7D4F"/>
    <w:rsid w:val="00CB055F"/>
    <w:rsid w:val="00CB060A"/>
    <w:rsid w:val="00CB2E9D"/>
    <w:rsid w:val="00CB5360"/>
    <w:rsid w:val="00CB5CD5"/>
    <w:rsid w:val="00CC0263"/>
    <w:rsid w:val="00CC03B5"/>
    <w:rsid w:val="00CC08B0"/>
    <w:rsid w:val="00CC13BD"/>
    <w:rsid w:val="00CC4D9A"/>
    <w:rsid w:val="00CC5D51"/>
    <w:rsid w:val="00CC7AE2"/>
    <w:rsid w:val="00CC7F77"/>
    <w:rsid w:val="00CD0128"/>
    <w:rsid w:val="00CD0269"/>
    <w:rsid w:val="00CD16AF"/>
    <w:rsid w:val="00CD17E6"/>
    <w:rsid w:val="00CD21DD"/>
    <w:rsid w:val="00CD2D81"/>
    <w:rsid w:val="00CD3882"/>
    <w:rsid w:val="00CD6565"/>
    <w:rsid w:val="00CE0603"/>
    <w:rsid w:val="00CE223F"/>
    <w:rsid w:val="00CE438B"/>
    <w:rsid w:val="00CE489D"/>
    <w:rsid w:val="00CE5A5C"/>
    <w:rsid w:val="00CE5A9B"/>
    <w:rsid w:val="00CE7C50"/>
    <w:rsid w:val="00CF0235"/>
    <w:rsid w:val="00CF08CE"/>
    <w:rsid w:val="00CF0F03"/>
    <w:rsid w:val="00CF0F72"/>
    <w:rsid w:val="00CF4CDF"/>
    <w:rsid w:val="00CF6609"/>
    <w:rsid w:val="00CF7CA8"/>
    <w:rsid w:val="00D0113F"/>
    <w:rsid w:val="00D03928"/>
    <w:rsid w:val="00D041F4"/>
    <w:rsid w:val="00D06BD9"/>
    <w:rsid w:val="00D06FCD"/>
    <w:rsid w:val="00D12F73"/>
    <w:rsid w:val="00D13920"/>
    <w:rsid w:val="00D14CC2"/>
    <w:rsid w:val="00D20305"/>
    <w:rsid w:val="00D22931"/>
    <w:rsid w:val="00D231B5"/>
    <w:rsid w:val="00D27FDC"/>
    <w:rsid w:val="00D3031E"/>
    <w:rsid w:val="00D327B3"/>
    <w:rsid w:val="00D3546E"/>
    <w:rsid w:val="00D35F30"/>
    <w:rsid w:val="00D362DF"/>
    <w:rsid w:val="00D36B9E"/>
    <w:rsid w:val="00D413F4"/>
    <w:rsid w:val="00D41DEA"/>
    <w:rsid w:val="00D41E8C"/>
    <w:rsid w:val="00D426ED"/>
    <w:rsid w:val="00D427C4"/>
    <w:rsid w:val="00D46178"/>
    <w:rsid w:val="00D51629"/>
    <w:rsid w:val="00D52CD4"/>
    <w:rsid w:val="00D57202"/>
    <w:rsid w:val="00D61E03"/>
    <w:rsid w:val="00D644AF"/>
    <w:rsid w:val="00D663B6"/>
    <w:rsid w:val="00D6663E"/>
    <w:rsid w:val="00D668D8"/>
    <w:rsid w:val="00D7648B"/>
    <w:rsid w:val="00D77E3F"/>
    <w:rsid w:val="00D8005A"/>
    <w:rsid w:val="00D81B23"/>
    <w:rsid w:val="00D825C0"/>
    <w:rsid w:val="00D82B5F"/>
    <w:rsid w:val="00D83F8F"/>
    <w:rsid w:val="00D843A3"/>
    <w:rsid w:val="00D86452"/>
    <w:rsid w:val="00D869F5"/>
    <w:rsid w:val="00D90316"/>
    <w:rsid w:val="00D90568"/>
    <w:rsid w:val="00D973CC"/>
    <w:rsid w:val="00D97E2A"/>
    <w:rsid w:val="00DA48B9"/>
    <w:rsid w:val="00DB1116"/>
    <w:rsid w:val="00DB1A90"/>
    <w:rsid w:val="00DB1A9F"/>
    <w:rsid w:val="00DB3BDF"/>
    <w:rsid w:val="00DB3DAC"/>
    <w:rsid w:val="00DC10B3"/>
    <w:rsid w:val="00DC4526"/>
    <w:rsid w:val="00DC4C38"/>
    <w:rsid w:val="00DC525C"/>
    <w:rsid w:val="00DC5B8B"/>
    <w:rsid w:val="00DD02D6"/>
    <w:rsid w:val="00DD3B29"/>
    <w:rsid w:val="00DD67E9"/>
    <w:rsid w:val="00DD6D7D"/>
    <w:rsid w:val="00DD7720"/>
    <w:rsid w:val="00DE0657"/>
    <w:rsid w:val="00DE0A24"/>
    <w:rsid w:val="00DE0B33"/>
    <w:rsid w:val="00DE0C12"/>
    <w:rsid w:val="00DE38FA"/>
    <w:rsid w:val="00DE523E"/>
    <w:rsid w:val="00DE5A8F"/>
    <w:rsid w:val="00DE7A50"/>
    <w:rsid w:val="00DF0363"/>
    <w:rsid w:val="00DF091B"/>
    <w:rsid w:val="00DF1461"/>
    <w:rsid w:val="00DF1BAA"/>
    <w:rsid w:val="00DF20BA"/>
    <w:rsid w:val="00DF2181"/>
    <w:rsid w:val="00DF4D91"/>
    <w:rsid w:val="00DF5AA4"/>
    <w:rsid w:val="00DF63D6"/>
    <w:rsid w:val="00DF6E89"/>
    <w:rsid w:val="00E00F10"/>
    <w:rsid w:val="00E01989"/>
    <w:rsid w:val="00E0367F"/>
    <w:rsid w:val="00E074A8"/>
    <w:rsid w:val="00E101DC"/>
    <w:rsid w:val="00E134FE"/>
    <w:rsid w:val="00E21EB0"/>
    <w:rsid w:val="00E22872"/>
    <w:rsid w:val="00E229DA"/>
    <w:rsid w:val="00E23E5F"/>
    <w:rsid w:val="00E25824"/>
    <w:rsid w:val="00E2652F"/>
    <w:rsid w:val="00E30234"/>
    <w:rsid w:val="00E35B17"/>
    <w:rsid w:val="00E368A6"/>
    <w:rsid w:val="00E37F8F"/>
    <w:rsid w:val="00E400A5"/>
    <w:rsid w:val="00E44B58"/>
    <w:rsid w:val="00E52725"/>
    <w:rsid w:val="00E53814"/>
    <w:rsid w:val="00E54AB3"/>
    <w:rsid w:val="00E564CE"/>
    <w:rsid w:val="00E57771"/>
    <w:rsid w:val="00E60663"/>
    <w:rsid w:val="00E61577"/>
    <w:rsid w:val="00E62997"/>
    <w:rsid w:val="00E641EA"/>
    <w:rsid w:val="00E65A61"/>
    <w:rsid w:val="00E67172"/>
    <w:rsid w:val="00E74F4C"/>
    <w:rsid w:val="00E80977"/>
    <w:rsid w:val="00E82646"/>
    <w:rsid w:val="00E82CE2"/>
    <w:rsid w:val="00E8343D"/>
    <w:rsid w:val="00E85E7E"/>
    <w:rsid w:val="00E861B8"/>
    <w:rsid w:val="00E864E5"/>
    <w:rsid w:val="00E87DE0"/>
    <w:rsid w:val="00E900B7"/>
    <w:rsid w:val="00E9092E"/>
    <w:rsid w:val="00E968C8"/>
    <w:rsid w:val="00E97B38"/>
    <w:rsid w:val="00EA1BCA"/>
    <w:rsid w:val="00EA2268"/>
    <w:rsid w:val="00EA3403"/>
    <w:rsid w:val="00EB0C62"/>
    <w:rsid w:val="00EB48A7"/>
    <w:rsid w:val="00EB49D5"/>
    <w:rsid w:val="00EB680A"/>
    <w:rsid w:val="00EC1BA3"/>
    <w:rsid w:val="00EC55E2"/>
    <w:rsid w:val="00EC7365"/>
    <w:rsid w:val="00ED33D8"/>
    <w:rsid w:val="00ED4268"/>
    <w:rsid w:val="00ED69E1"/>
    <w:rsid w:val="00EE1BFC"/>
    <w:rsid w:val="00EE2E38"/>
    <w:rsid w:val="00EE4F2E"/>
    <w:rsid w:val="00EE6C3F"/>
    <w:rsid w:val="00EE77FC"/>
    <w:rsid w:val="00EE7D8F"/>
    <w:rsid w:val="00EF03C2"/>
    <w:rsid w:val="00EF05C7"/>
    <w:rsid w:val="00F00CCC"/>
    <w:rsid w:val="00F011F6"/>
    <w:rsid w:val="00F01D2B"/>
    <w:rsid w:val="00F02E44"/>
    <w:rsid w:val="00F038E1"/>
    <w:rsid w:val="00F05089"/>
    <w:rsid w:val="00F05BF5"/>
    <w:rsid w:val="00F062CC"/>
    <w:rsid w:val="00F063D1"/>
    <w:rsid w:val="00F06F03"/>
    <w:rsid w:val="00F111CE"/>
    <w:rsid w:val="00F11ECE"/>
    <w:rsid w:val="00F20C25"/>
    <w:rsid w:val="00F21EAD"/>
    <w:rsid w:val="00F24848"/>
    <w:rsid w:val="00F25F6B"/>
    <w:rsid w:val="00F273B0"/>
    <w:rsid w:val="00F276B7"/>
    <w:rsid w:val="00F316C7"/>
    <w:rsid w:val="00F31BBC"/>
    <w:rsid w:val="00F31FC8"/>
    <w:rsid w:val="00F33F12"/>
    <w:rsid w:val="00F35393"/>
    <w:rsid w:val="00F3593F"/>
    <w:rsid w:val="00F36A30"/>
    <w:rsid w:val="00F403E9"/>
    <w:rsid w:val="00F41C34"/>
    <w:rsid w:val="00F42234"/>
    <w:rsid w:val="00F42C5F"/>
    <w:rsid w:val="00F43169"/>
    <w:rsid w:val="00F43A6F"/>
    <w:rsid w:val="00F44ECD"/>
    <w:rsid w:val="00F456B0"/>
    <w:rsid w:val="00F47F56"/>
    <w:rsid w:val="00F50189"/>
    <w:rsid w:val="00F5179A"/>
    <w:rsid w:val="00F520B5"/>
    <w:rsid w:val="00F53D32"/>
    <w:rsid w:val="00F53F02"/>
    <w:rsid w:val="00F559DC"/>
    <w:rsid w:val="00F563D8"/>
    <w:rsid w:val="00F5773C"/>
    <w:rsid w:val="00F57E6F"/>
    <w:rsid w:val="00F57FF9"/>
    <w:rsid w:val="00F607A6"/>
    <w:rsid w:val="00F617AC"/>
    <w:rsid w:val="00F62544"/>
    <w:rsid w:val="00F71266"/>
    <w:rsid w:val="00F727A8"/>
    <w:rsid w:val="00F72A76"/>
    <w:rsid w:val="00F73B3C"/>
    <w:rsid w:val="00F779DB"/>
    <w:rsid w:val="00F80E75"/>
    <w:rsid w:val="00F81CD2"/>
    <w:rsid w:val="00F81FD9"/>
    <w:rsid w:val="00F83DDB"/>
    <w:rsid w:val="00F860DE"/>
    <w:rsid w:val="00F8797F"/>
    <w:rsid w:val="00F9007E"/>
    <w:rsid w:val="00F92D62"/>
    <w:rsid w:val="00F95327"/>
    <w:rsid w:val="00F95B45"/>
    <w:rsid w:val="00F96C55"/>
    <w:rsid w:val="00F9761E"/>
    <w:rsid w:val="00FA057E"/>
    <w:rsid w:val="00FA1885"/>
    <w:rsid w:val="00FA541F"/>
    <w:rsid w:val="00FB123E"/>
    <w:rsid w:val="00FB414C"/>
    <w:rsid w:val="00FB619F"/>
    <w:rsid w:val="00FB620A"/>
    <w:rsid w:val="00FB7574"/>
    <w:rsid w:val="00FC281E"/>
    <w:rsid w:val="00FC3811"/>
    <w:rsid w:val="00FC4243"/>
    <w:rsid w:val="00FC49B2"/>
    <w:rsid w:val="00FC51AF"/>
    <w:rsid w:val="00FC59C8"/>
    <w:rsid w:val="00FC678E"/>
    <w:rsid w:val="00FD17AB"/>
    <w:rsid w:val="00FD5B97"/>
    <w:rsid w:val="00FD5E1C"/>
    <w:rsid w:val="00FD5F11"/>
    <w:rsid w:val="00FE03BC"/>
    <w:rsid w:val="00FE1964"/>
    <w:rsid w:val="00FE3071"/>
    <w:rsid w:val="00FE5845"/>
    <w:rsid w:val="00FF05C9"/>
    <w:rsid w:val="00FF2570"/>
    <w:rsid w:val="00FF2863"/>
    <w:rsid w:val="00FF3F7B"/>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142B2B"/>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 w:type="paragraph" w:customStyle="1" w:styleId="Default">
    <w:name w:val="Default"/>
    <w:rsid w:val="005747F6"/>
    <w:pPr>
      <w:autoSpaceDE w:val="0"/>
      <w:autoSpaceDN w:val="0"/>
      <w:adjustRightInd w:val="0"/>
    </w:pPr>
    <w:rPr>
      <w:rFonts w:ascii="Arial" w:hAnsi="Arial" w:cs="Arial"/>
      <w:color w:val="000000"/>
      <w:sz w:val="24"/>
      <w:szCs w:val="24"/>
    </w:rPr>
  </w:style>
  <w:style w:type="table" w:customStyle="1" w:styleId="Tabela-Siatka1">
    <w:name w:val="Tabela - Siatka1"/>
    <w:basedOn w:val="Standardowy"/>
    <w:next w:val="Tabela-Siatka"/>
    <w:uiPriority w:val="59"/>
    <w:rsid w:val="00F879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879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D2D8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4B2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7640">
      <w:bodyDiv w:val="1"/>
      <w:marLeft w:val="0"/>
      <w:marRight w:val="0"/>
      <w:marTop w:val="0"/>
      <w:marBottom w:val="0"/>
      <w:divBdr>
        <w:top w:val="none" w:sz="0" w:space="0" w:color="auto"/>
        <w:left w:val="none" w:sz="0" w:space="0" w:color="auto"/>
        <w:bottom w:val="none" w:sz="0" w:space="0" w:color="auto"/>
        <w:right w:val="none" w:sz="0" w:space="0" w:color="auto"/>
      </w:divBdr>
    </w:div>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89628513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180585039">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04941103">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 w:id="207129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ntTable" Target="fontTable.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BA9D-FF7D-400B-B166-5FAB456C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26</Pages>
  <Words>9337</Words>
  <Characters>56025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FSUSR</dc:creator>
  <cp:keywords/>
  <dc:description/>
  <cp:lastModifiedBy>Beata Borucka</cp:lastModifiedBy>
  <cp:revision>489</cp:revision>
  <cp:lastPrinted>2022-07-12T11:21:00Z</cp:lastPrinted>
  <dcterms:created xsi:type="dcterms:W3CDTF">2021-06-10T11:51:00Z</dcterms:created>
  <dcterms:modified xsi:type="dcterms:W3CDTF">2022-07-12T11:22:00Z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